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E899" w14:textId="072B9161" w:rsidR="0012388D" w:rsidRDefault="00772BDC" w:rsidP="00CA5734">
      <w:pPr>
        <w:rPr>
          <w:rFonts w:cs="Arial"/>
        </w:rPr>
      </w:pPr>
      <w:r>
        <w:rPr>
          <w:rFonts w:cs="Arial"/>
          <w:noProof/>
          <w:lang w:eastAsia="en-GB" w:bidi="ar-SA"/>
        </w:rPr>
        <w:drawing>
          <wp:inline distT="0" distB="0" distL="0" distR="0" wp14:anchorId="767908CB" wp14:editId="2D74F57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D32DA91" w14:textId="77777777" w:rsidR="00012C28" w:rsidRDefault="00012C28" w:rsidP="00012C28">
      <w:pPr>
        <w:rPr>
          <w:sz w:val="20"/>
          <w:lang w:bidi="ar-SA"/>
        </w:rPr>
      </w:pPr>
    </w:p>
    <w:p w14:paraId="22F7E803" w14:textId="77777777" w:rsidR="00012C28" w:rsidRDefault="00012C28" w:rsidP="00012C28">
      <w:pPr>
        <w:rPr>
          <w:b/>
          <w:sz w:val="28"/>
          <w:szCs w:val="28"/>
        </w:rPr>
      </w:pPr>
      <w:r>
        <w:rPr>
          <w:b/>
          <w:sz w:val="28"/>
          <w:szCs w:val="28"/>
        </w:rPr>
        <w:t>7 July 2017</w:t>
      </w:r>
    </w:p>
    <w:p w14:paraId="1B8C6DF8" w14:textId="77777777" w:rsidR="00012C28" w:rsidRDefault="00012C28" w:rsidP="00012C28">
      <w:pPr>
        <w:rPr>
          <w:b/>
          <w:sz w:val="28"/>
          <w:szCs w:val="28"/>
        </w:rPr>
      </w:pPr>
      <w:r>
        <w:rPr>
          <w:b/>
          <w:sz w:val="28"/>
          <w:szCs w:val="28"/>
        </w:rPr>
        <w:t>[17–17]</w:t>
      </w:r>
    </w:p>
    <w:p w14:paraId="75638361" w14:textId="77777777" w:rsidR="00012C28" w:rsidRDefault="00012C28" w:rsidP="00012C28">
      <w:pPr>
        <w:rPr>
          <w:b/>
          <w:sz w:val="20"/>
        </w:rPr>
      </w:pPr>
    </w:p>
    <w:p w14:paraId="24AA3E01" w14:textId="3A5A07FF" w:rsidR="0012388D" w:rsidRPr="0092787B" w:rsidRDefault="00B425AA" w:rsidP="00B425AA">
      <w:pPr>
        <w:pStyle w:val="FSTitle"/>
      </w:pPr>
      <w:r w:rsidRPr="0092787B">
        <w:t>A</w:t>
      </w:r>
      <w:r w:rsidR="00DD265C" w:rsidRPr="0092787B">
        <w:t>pproval</w:t>
      </w:r>
      <w:r w:rsidRPr="0092787B">
        <w:t xml:space="preserve"> </w:t>
      </w:r>
      <w:r w:rsidR="00B77C18" w:rsidRPr="0092787B">
        <w:t>r</w:t>
      </w:r>
      <w:r w:rsidR="00DD265C" w:rsidRPr="0092787B">
        <w:t>eport</w:t>
      </w:r>
      <w:r w:rsidRPr="0092787B">
        <w:t xml:space="preserve"> – </w:t>
      </w:r>
      <w:r w:rsidR="00EB6590" w:rsidRPr="0092787B">
        <w:t>A</w:t>
      </w:r>
      <w:r w:rsidR="00DD265C" w:rsidRPr="0092787B">
        <w:t>pplication</w:t>
      </w:r>
      <w:r w:rsidR="0092787B" w:rsidRPr="0092787B">
        <w:t xml:space="preserve"> </w:t>
      </w:r>
      <w:r w:rsidR="00D15A08" w:rsidRPr="0092787B">
        <w:t>A</w:t>
      </w:r>
      <w:r w:rsidR="0092787B" w:rsidRPr="0092787B">
        <w:t>1126</w:t>
      </w:r>
    </w:p>
    <w:p w14:paraId="321974F8" w14:textId="77777777" w:rsidR="003A7B84" w:rsidRPr="0092787B" w:rsidRDefault="003A7B84" w:rsidP="00A671E6"/>
    <w:p w14:paraId="15A9284F" w14:textId="2FD84A92" w:rsidR="0012388D" w:rsidRPr="0092787B" w:rsidRDefault="0092787B" w:rsidP="00B425AA">
      <w:pPr>
        <w:pStyle w:val="FSTitle"/>
      </w:pPr>
      <w:r w:rsidRPr="0092787B">
        <w:t>Pectins &amp; Carrageenan as Processing Aids in Wine (Fining Agent)</w:t>
      </w:r>
    </w:p>
    <w:p w14:paraId="157C2CDA" w14:textId="77777777" w:rsidR="003A7B84" w:rsidRPr="00E327A6" w:rsidRDefault="003A7B84" w:rsidP="00871116">
      <w:pPr>
        <w:pBdr>
          <w:bottom w:val="single" w:sz="12" w:space="1" w:color="auto"/>
        </w:pBdr>
        <w:tabs>
          <w:tab w:val="left" w:pos="1140"/>
        </w:tabs>
        <w:rPr>
          <w:rFonts w:cs="Arial"/>
          <w:bCs/>
        </w:rPr>
      </w:pPr>
    </w:p>
    <w:p w14:paraId="57D16BFA" w14:textId="77777777" w:rsidR="003A7B84" w:rsidRPr="00E327A6" w:rsidRDefault="003A7B84" w:rsidP="003A7B84"/>
    <w:p w14:paraId="18284C49" w14:textId="143DE4D0" w:rsidR="00EB6590" w:rsidRPr="00071D39" w:rsidRDefault="000F3CFE" w:rsidP="00CA5734">
      <w:r>
        <w:t xml:space="preserve">Food Standards Australia New </w:t>
      </w:r>
      <w:r w:rsidRPr="00071D39">
        <w:t>Zealand (FSANZ) has</w:t>
      </w:r>
      <w:r w:rsidR="00081B0A" w:rsidRPr="00071D39">
        <w:t xml:space="preserve"> assessed an application</w:t>
      </w:r>
      <w:r w:rsidR="00CA5734" w:rsidRPr="00071D39">
        <w:t xml:space="preserve"> </w:t>
      </w:r>
      <w:r w:rsidR="00081B0A" w:rsidRPr="00071D39">
        <w:t xml:space="preserve">made by </w:t>
      </w:r>
      <w:r w:rsidR="00101B08" w:rsidRPr="00071D39">
        <w:t>the Winemakers</w:t>
      </w:r>
      <w:r w:rsidR="00281CA3">
        <w:t>’</w:t>
      </w:r>
      <w:r w:rsidR="00101B08" w:rsidRPr="00071D39">
        <w:t xml:space="preserve"> Federation of Australia </w:t>
      </w:r>
      <w:r w:rsidR="00CA5734" w:rsidRPr="00071D39">
        <w:t>to</w:t>
      </w:r>
      <w:r w:rsidR="00081B0A" w:rsidRPr="00071D39">
        <w:t xml:space="preserve"> </w:t>
      </w:r>
      <w:r w:rsidR="00101B08" w:rsidRPr="00071D39">
        <w:t>seek permissions for pectins and carrageenan as processing aids to remove heat-unstable proteins from Australian produced wine</w:t>
      </w:r>
    </w:p>
    <w:p w14:paraId="5D0346AA" w14:textId="77777777" w:rsidR="00CA5734" w:rsidRPr="00071D39" w:rsidRDefault="00CA5734" w:rsidP="00CA5734"/>
    <w:p w14:paraId="61BABFCC" w14:textId="1BAAE17A" w:rsidR="00081B0A" w:rsidRDefault="00081B0A" w:rsidP="00CA5734">
      <w:r w:rsidRPr="00071D39">
        <w:t xml:space="preserve">On </w:t>
      </w:r>
      <w:r w:rsidR="00101B08" w:rsidRPr="00071D39">
        <w:t>20 February 2017</w:t>
      </w:r>
      <w:r w:rsidR="003A7B84" w:rsidRPr="00071D39">
        <w:t>,</w:t>
      </w:r>
      <w:r w:rsidRPr="00071D39">
        <w:t xml:space="preserve"> FSANZ sought </w:t>
      </w:r>
      <w:r w:rsidR="003A7B84" w:rsidRPr="00071D39">
        <w:t xml:space="preserve">submissions </w:t>
      </w:r>
      <w:r w:rsidR="00A671E6" w:rsidRPr="00071D39">
        <w:t xml:space="preserve">on </w:t>
      </w:r>
      <w:r w:rsidR="00F526BD" w:rsidRPr="00071D39">
        <w:t xml:space="preserve">a draft </w:t>
      </w:r>
      <w:r w:rsidR="00E30092" w:rsidRPr="00071D39">
        <w:t>variation</w:t>
      </w:r>
      <w:r w:rsidR="003A7B84" w:rsidRPr="00071D39">
        <w:t xml:space="preserve"> and published </w:t>
      </w:r>
      <w:r w:rsidR="003A7B84">
        <w:t xml:space="preserve">an </w:t>
      </w:r>
      <w:r w:rsidR="00EC21DF">
        <w:t>associated r</w:t>
      </w:r>
      <w:r w:rsidR="003A7B84">
        <w:t>eport</w:t>
      </w:r>
      <w:r>
        <w:t>.</w:t>
      </w:r>
      <w:r w:rsidR="00F526BD">
        <w:t xml:space="preserve"> FSANZ received </w:t>
      </w:r>
      <w:r w:rsidR="00101B08">
        <w:t>two</w:t>
      </w:r>
      <w:r w:rsidR="00F526BD">
        <w:t xml:space="preserve"> submissions.</w:t>
      </w:r>
    </w:p>
    <w:p w14:paraId="545CDF5B" w14:textId="77777777" w:rsidR="00CA5734" w:rsidRDefault="00CA5734" w:rsidP="00CA5734"/>
    <w:p w14:paraId="09F195A1" w14:textId="4975A8F7" w:rsidR="00081B0A" w:rsidRPr="00012C28" w:rsidRDefault="00081B0A" w:rsidP="00CA5734">
      <w:r>
        <w:t>FSANZ approved the draft</w:t>
      </w:r>
      <w:r w:rsidRPr="00012C28">
        <w:t xml:space="preserve"> </w:t>
      </w:r>
      <w:r w:rsidR="00E30092" w:rsidRPr="00012C28">
        <w:t xml:space="preserve">variation </w:t>
      </w:r>
      <w:r w:rsidR="0012388D" w:rsidRPr="00012C28">
        <w:t xml:space="preserve">on </w:t>
      </w:r>
      <w:r w:rsidR="00012C28" w:rsidRPr="00012C28">
        <w:t>22 June 2017</w:t>
      </w:r>
      <w:r w:rsidRPr="00012C28">
        <w:t xml:space="preserve">. </w:t>
      </w:r>
      <w:r w:rsidR="003A7B84" w:rsidRPr="00012C28">
        <w:t xml:space="preserve">The </w:t>
      </w:r>
      <w:r w:rsidR="00011187" w:rsidRPr="00012C28">
        <w:rPr>
          <w:rFonts w:cs="Helvetica"/>
          <w:lang w:val="en-AU"/>
        </w:rPr>
        <w:t xml:space="preserve">Australia and New Zealand Ministerial Forum on Food </w:t>
      </w:r>
      <w:r w:rsidR="00011187" w:rsidRPr="00012C28">
        <w:rPr>
          <w:rFonts w:cs="Arial"/>
        </w:rPr>
        <w:t>Regulation</w:t>
      </w:r>
      <w:r w:rsidR="003A7B84" w:rsidRPr="00012C28">
        <w:t xml:space="preserve"> was notified of FSANZ’s decision on </w:t>
      </w:r>
      <w:r w:rsidR="00012C28" w:rsidRPr="00012C28">
        <w:t>6 July 2017</w:t>
      </w:r>
      <w:r w:rsidR="003A7B84" w:rsidRPr="00012C28">
        <w:t>.</w:t>
      </w:r>
    </w:p>
    <w:p w14:paraId="140606BA" w14:textId="77777777" w:rsidR="00CA5734" w:rsidRDefault="00CA5734" w:rsidP="00CA5734"/>
    <w:p w14:paraId="463CBAC1" w14:textId="6673988A" w:rsidR="00081B0A" w:rsidRDefault="003A7B84" w:rsidP="00292B9B">
      <w:r>
        <w:t xml:space="preserve">This </w:t>
      </w:r>
      <w:r w:rsidR="000B2AF2">
        <w:t>r</w:t>
      </w:r>
      <w:r w:rsidR="00B425AA">
        <w:t xml:space="preserve">eport is provided pursuant </w:t>
      </w:r>
      <w:r w:rsidR="00B425AA" w:rsidRPr="00EB312D">
        <w:t xml:space="preserve">to </w:t>
      </w:r>
      <w:r w:rsidR="009A2699" w:rsidRPr="00EB312D">
        <w:t>paragraph</w:t>
      </w:r>
      <w:r w:rsidR="00081B0A" w:rsidRPr="00EB312D">
        <w:t xml:space="preserve"> 33(1)(b) of the </w:t>
      </w:r>
      <w:r w:rsidR="00081B0A" w:rsidRPr="00EB312D">
        <w:rPr>
          <w:i/>
        </w:rPr>
        <w:t>Food Standards Australia New Zealand Act 1991</w:t>
      </w:r>
      <w:r w:rsidR="00081B0A" w:rsidRPr="00EB312D">
        <w:t xml:space="preserve"> (the FSANZ Act).</w:t>
      </w:r>
    </w:p>
    <w:p w14:paraId="22D545E6" w14:textId="77777777" w:rsidR="00F526BD" w:rsidRDefault="00F526BD" w:rsidP="00A671E6"/>
    <w:p w14:paraId="6AE73C7A" w14:textId="77777777" w:rsidR="00EB6590" w:rsidRDefault="00EB6590" w:rsidP="00F526BD"/>
    <w:p w14:paraId="44080FCD" w14:textId="77777777" w:rsidR="00A671E6" w:rsidRDefault="00A671E6" w:rsidP="00CC5468">
      <w:pPr>
        <w:sectPr w:rsidR="00A671E6" w:rsidSect="00EB576F">
          <w:headerReference w:type="default" r:id="rId14"/>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04531281"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01F988FA" w14:textId="77777777" w:rsidR="00CE59AA" w:rsidRPr="00346622" w:rsidRDefault="00CE59AA" w:rsidP="00CE59AA">
      <w:pPr>
        <w:rPr>
          <w:rFonts w:cs="Arial"/>
          <w:sz w:val="20"/>
          <w:szCs w:val="20"/>
        </w:rPr>
      </w:pPr>
    </w:p>
    <w:p w14:paraId="166EEA35" w14:textId="33BD7709" w:rsidR="0022529A" w:rsidRPr="00012C28" w:rsidRDefault="00B55714">
      <w:pPr>
        <w:pStyle w:val="TOC1"/>
        <w:tabs>
          <w:tab w:val="right" w:leader="dot" w:pos="9060"/>
        </w:tabs>
        <w:rPr>
          <w:rFonts w:ascii="Arial" w:eastAsiaTheme="minorEastAsia" w:hAnsi="Arial" w:cs="Arial"/>
          <w:b w:val="0"/>
          <w:bCs w:val="0"/>
          <w:caps w:val="0"/>
          <w:noProof/>
          <w:sz w:val="22"/>
          <w:szCs w:val="22"/>
          <w:lang w:val="en-NZ" w:eastAsia="en-NZ" w:bidi="ar-SA"/>
        </w:rPr>
      </w:pPr>
      <w:r w:rsidRPr="00012C28">
        <w:rPr>
          <w:rFonts w:ascii="Arial" w:hAnsi="Arial" w:cs="Arial"/>
          <w:b w:val="0"/>
          <w:bCs w:val="0"/>
          <w:caps w:val="0"/>
          <w:smallCaps/>
        </w:rPr>
        <w:fldChar w:fldCharType="begin"/>
      </w:r>
      <w:r w:rsidRPr="00012C28">
        <w:rPr>
          <w:rFonts w:ascii="Arial" w:hAnsi="Arial" w:cs="Arial"/>
        </w:rPr>
        <w:instrText xml:space="preserve"> TOC \h \z \t "Heading 1,1,Heading 2,2,Heading 3,3" </w:instrText>
      </w:r>
      <w:r w:rsidRPr="00012C28">
        <w:rPr>
          <w:rFonts w:ascii="Arial" w:hAnsi="Arial" w:cs="Arial"/>
          <w:b w:val="0"/>
          <w:bCs w:val="0"/>
          <w:caps w:val="0"/>
          <w:smallCaps/>
        </w:rPr>
        <w:fldChar w:fldCharType="separate"/>
      </w:r>
      <w:hyperlink w:anchor="_Toc481153321" w:history="1">
        <w:r w:rsidR="0022529A" w:rsidRPr="00012C28">
          <w:rPr>
            <w:rStyle w:val="Hyperlink"/>
            <w:rFonts w:ascii="Arial" w:hAnsi="Arial" w:cs="Arial"/>
            <w:noProof/>
          </w:rPr>
          <w:t>Executive summary</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_Toc481153321 \h </w:instrText>
        </w:r>
        <w:r w:rsidR="0022529A" w:rsidRPr="00012C28">
          <w:rPr>
            <w:rFonts w:ascii="Arial" w:hAnsi="Arial" w:cs="Arial"/>
            <w:noProof/>
            <w:webHidden/>
          </w:rPr>
        </w:r>
        <w:r w:rsidR="0022529A" w:rsidRPr="00012C28">
          <w:rPr>
            <w:rFonts w:ascii="Arial" w:hAnsi="Arial" w:cs="Arial"/>
            <w:noProof/>
            <w:webHidden/>
          </w:rPr>
          <w:fldChar w:fldCharType="separate"/>
        </w:r>
        <w:r w:rsidR="008445AC">
          <w:rPr>
            <w:rFonts w:ascii="Arial" w:hAnsi="Arial" w:cs="Arial"/>
            <w:noProof/>
            <w:webHidden/>
          </w:rPr>
          <w:t>2</w:t>
        </w:r>
        <w:r w:rsidR="0022529A" w:rsidRPr="00012C28">
          <w:rPr>
            <w:rFonts w:ascii="Arial" w:hAnsi="Arial" w:cs="Arial"/>
            <w:noProof/>
            <w:webHidden/>
          </w:rPr>
          <w:fldChar w:fldCharType="end"/>
        </w:r>
      </w:hyperlink>
    </w:p>
    <w:p w14:paraId="381BB677" w14:textId="308C1E16" w:rsidR="0022529A" w:rsidRPr="00012C28" w:rsidRDefault="008445AC">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81153322" w:history="1">
        <w:r w:rsidR="0022529A" w:rsidRPr="00012C28">
          <w:rPr>
            <w:rStyle w:val="Hyperlink"/>
            <w:rFonts w:ascii="Arial" w:hAnsi="Arial" w:cs="Arial"/>
            <w:noProof/>
          </w:rPr>
          <w:t>1</w:t>
        </w:r>
        <w:r w:rsidR="0022529A" w:rsidRPr="00012C28">
          <w:rPr>
            <w:rFonts w:ascii="Arial" w:eastAsiaTheme="minorEastAsia" w:hAnsi="Arial" w:cs="Arial"/>
            <w:b w:val="0"/>
            <w:bCs w:val="0"/>
            <w:caps w:val="0"/>
            <w:noProof/>
            <w:sz w:val="22"/>
            <w:szCs w:val="22"/>
            <w:lang w:val="en-NZ" w:eastAsia="en-NZ" w:bidi="ar-SA"/>
          </w:rPr>
          <w:tab/>
        </w:r>
        <w:r w:rsidR="0022529A" w:rsidRPr="00012C28">
          <w:rPr>
            <w:rStyle w:val="Hyperlink"/>
            <w:rFonts w:ascii="Arial" w:hAnsi="Arial" w:cs="Arial"/>
            <w:noProof/>
          </w:rPr>
          <w:t>Introduction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_Toc481153322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3</w:t>
        </w:r>
        <w:r w:rsidR="0022529A" w:rsidRPr="00012C28">
          <w:rPr>
            <w:rFonts w:ascii="Arial" w:hAnsi="Arial" w:cs="Arial"/>
            <w:noProof/>
            <w:webHidden/>
          </w:rPr>
          <w:fldChar w:fldCharType="end"/>
        </w:r>
      </w:hyperlink>
    </w:p>
    <w:p w14:paraId="1A33CA73" w14:textId="43846C29"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23" w:history="1">
        <w:r w:rsidR="0022529A" w:rsidRPr="00012C28">
          <w:rPr>
            <w:rStyle w:val="Hyperlink"/>
            <w:rFonts w:ascii="Arial" w:hAnsi="Arial" w:cs="Arial"/>
            <w:noProof/>
          </w:rPr>
          <w:t>1.1</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The Applicant</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_Toc481153323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3</w:t>
        </w:r>
        <w:r w:rsidR="0022529A" w:rsidRPr="00012C28">
          <w:rPr>
            <w:rFonts w:ascii="Arial" w:hAnsi="Arial" w:cs="Arial"/>
            <w:noProof/>
            <w:webHidden/>
          </w:rPr>
          <w:fldChar w:fldCharType="end"/>
        </w:r>
      </w:hyperlink>
    </w:p>
    <w:p w14:paraId="4FEA61BD" w14:textId="1D2D5355"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24" w:history="1">
        <w:r w:rsidR="0022529A" w:rsidRPr="00012C28">
          <w:rPr>
            <w:rStyle w:val="Hyperlink"/>
            <w:rFonts w:ascii="Arial" w:hAnsi="Arial" w:cs="Arial"/>
            <w:noProof/>
          </w:rPr>
          <w:t>1.2</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The Application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_Toc481153324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3</w:t>
        </w:r>
        <w:r w:rsidR="0022529A" w:rsidRPr="00012C28">
          <w:rPr>
            <w:rFonts w:ascii="Arial" w:hAnsi="Arial" w:cs="Arial"/>
            <w:noProof/>
            <w:webHidden/>
          </w:rPr>
          <w:fldChar w:fldCharType="end"/>
        </w:r>
      </w:hyperlink>
    </w:p>
    <w:p w14:paraId="6DB45FD5" w14:textId="0A531C01"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25" w:history="1">
        <w:r w:rsidR="0022529A" w:rsidRPr="00012C28">
          <w:rPr>
            <w:rStyle w:val="Hyperlink"/>
            <w:rFonts w:ascii="Arial" w:hAnsi="Arial" w:cs="Arial"/>
            <w:noProof/>
          </w:rPr>
          <w:t>1.3</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The current Standard</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_Toc481153325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3</w:t>
        </w:r>
        <w:r w:rsidR="0022529A" w:rsidRPr="00012C28">
          <w:rPr>
            <w:rFonts w:ascii="Arial" w:hAnsi="Arial" w:cs="Arial"/>
            <w:noProof/>
            <w:webHidden/>
          </w:rPr>
          <w:fldChar w:fldCharType="end"/>
        </w:r>
      </w:hyperlink>
    </w:p>
    <w:p w14:paraId="3BCD55DB" w14:textId="321D593A"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26" w:history="1">
        <w:r w:rsidR="0022529A" w:rsidRPr="00012C28">
          <w:rPr>
            <w:rStyle w:val="Hyperlink"/>
            <w:rFonts w:ascii="Arial" w:hAnsi="Arial" w:cs="Arial"/>
            <w:noProof/>
            <w:u w:color="FFFF00"/>
          </w:rPr>
          <w:t>1.4</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u w:color="FFFF00"/>
          </w:rPr>
          <w:t>Reasons for accepting Application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_Toc481153326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3</w:t>
        </w:r>
        <w:r w:rsidR="0022529A" w:rsidRPr="00012C28">
          <w:rPr>
            <w:rFonts w:ascii="Arial" w:hAnsi="Arial" w:cs="Arial"/>
            <w:noProof/>
            <w:webHidden/>
          </w:rPr>
          <w:fldChar w:fldCharType="end"/>
        </w:r>
      </w:hyperlink>
    </w:p>
    <w:p w14:paraId="4F63868D" w14:textId="0D84133C"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27" w:history="1">
        <w:r w:rsidR="0022529A" w:rsidRPr="00012C28">
          <w:rPr>
            <w:rStyle w:val="Hyperlink"/>
            <w:rFonts w:ascii="Arial" w:hAnsi="Arial" w:cs="Arial"/>
            <w:noProof/>
          </w:rPr>
          <w:t>1.5</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Procedure for assessment</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_Toc481153327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3</w:t>
        </w:r>
        <w:r w:rsidR="0022529A" w:rsidRPr="00012C28">
          <w:rPr>
            <w:rFonts w:ascii="Arial" w:hAnsi="Arial" w:cs="Arial"/>
            <w:noProof/>
            <w:webHidden/>
          </w:rPr>
          <w:fldChar w:fldCharType="end"/>
        </w:r>
      </w:hyperlink>
    </w:p>
    <w:p w14:paraId="382DC0D1" w14:textId="790663EC"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28" w:history="1">
        <w:r w:rsidR="0022529A" w:rsidRPr="00012C28">
          <w:rPr>
            <w:rStyle w:val="Hyperlink"/>
            <w:rFonts w:ascii="Arial" w:hAnsi="Arial" w:cs="Arial"/>
            <w:noProof/>
          </w:rPr>
          <w:t>1.6</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Decision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_Toc481153328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3</w:t>
        </w:r>
        <w:r w:rsidR="0022529A" w:rsidRPr="00012C28">
          <w:rPr>
            <w:rFonts w:ascii="Arial" w:hAnsi="Arial" w:cs="Arial"/>
            <w:noProof/>
            <w:webHidden/>
          </w:rPr>
          <w:fldChar w:fldCharType="end"/>
        </w:r>
      </w:hyperlink>
    </w:p>
    <w:p w14:paraId="4E4AD37D" w14:textId="42581C32" w:rsidR="0022529A" w:rsidRPr="00012C28" w:rsidRDefault="008445AC">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81153329" w:history="1">
        <w:r w:rsidR="0022529A" w:rsidRPr="00012C28">
          <w:rPr>
            <w:rStyle w:val="Hyperlink"/>
            <w:rFonts w:ascii="Arial" w:hAnsi="Arial" w:cs="Arial"/>
            <w:noProof/>
          </w:rPr>
          <w:t>2</w:t>
        </w:r>
        <w:r w:rsidR="0022529A" w:rsidRPr="00012C28">
          <w:rPr>
            <w:rFonts w:ascii="Arial" w:eastAsiaTheme="minorEastAsia" w:hAnsi="Arial" w:cs="Arial"/>
            <w:b w:val="0"/>
            <w:bCs w:val="0"/>
            <w:caps w:val="0"/>
            <w:noProof/>
            <w:sz w:val="22"/>
            <w:szCs w:val="22"/>
            <w:lang w:val="en-NZ" w:eastAsia="en-NZ" w:bidi="ar-SA"/>
          </w:rPr>
          <w:tab/>
        </w:r>
        <w:r w:rsidR="0022529A" w:rsidRPr="00012C28">
          <w:rPr>
            <w:rStyle w:val="Hyperlink"/>
            <w:rFonts w:ascii="Arial" w:hAnsi="Arial" w:cs="Arial"/>
            <w:noProof/>
          </w:rPr>
          <w:t xml:space="preserve">Summary </w:t>
        </w:r>
        <w:r w:rsidR="0022529A" w:rsidRPr="00012C28">
          <w:rPr>
            <w:rStyle w:val="Hyperlink"/>
            <w:rFonts w:ascii="Arial" w:hAnsi="Arial" w:cs="Arial"/>
            <w:noProof/>
            <w:u w:color="FFFF00"/>
          </w:rPr>
          <w:t>of</w:t>
        </w:r>
        <w:r w:rsidR="0022529A" w:rsidRPr="00012C28">
          <w:rPr>
            <w:rStyle w:val="Hyperlink"/>
            <w:rFonts w:ascii="Arial" w:hAnsi="Arial" w:cs="Arial"/>
            <w:noProof/>
          </w:rPr>
          <w:t xml:space="preserve"> the findings</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_Toc481153329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4</w:t>
        </w:r>
        <w:r w:rsidR="0022529A" w:rsidRPr="00012C28">
          <w:rPr>
            <w:rFonts w:ascii="Arial" w:hAnsi="Arial" w:cs="Arial"/>
            <w:noProof/>
            <w:webHidden/>
          </w:rPr>
          <w:fldChar w:fldCharType="end"/>
        </w:r>
      </w:hyperlink>
    </w:p>
    <w:p w14:paraId="27A039C7" w14:textId="7D77D640"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30" w:history="1">
        <w:r w:rsidR="0022529A" w:rsidRPr="00012C28">
          <w:rPr>
            <w:rStyle w:val="Hyperlink"/>
            <w:rFonts w:ascii="Arial" w:hAnsi="Arial" w:cs="Arial"/>
            <w:noProof/>
          </w:rPr>
          <w:t>2.1</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Summary of issues raised in submissions</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_Toc481153330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4</w:t>
        </w:r>
        <w:r w:rsidR="0022529A" w:rsidRPr="00012C28">
          <w:rPr>
            <w:rFonts w:ascii="Arial" w:hAnsi="Arial" w:cs="Arial"/>
            <w:noProof/>
            <w:webHidden/>
          </w:rPr>
          <w:fldChar w:fldCharType="end"/>
        </w:r>
      </w:hyperlink>
    </w:p>
    <w:p w14:paraId="48D55930" w14:textId="6FCCD7C0"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31" w:history="1">
        <w:r w:rsidR="0022529A" w:rsidRPr="00012C28">
          <w:rPr>
            <w:rStyle w:val="Hyperlink"/>
            <w:rFonts w:ascii="Arial" w:hAnsi="Arial" w:cs="Arial"/>
            <w:noProof/>
          </w:rPr>
          <w:t>2.2</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Risk assessment</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_Toc481153331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4</w:t>
        </w:r>
        <w:r w:rsidR="0022529A" w:rsidRPr="00012C28">
          <w:rPr>
            <w:rFonts w:ascii="Arial" w:hAnsi="Arial" w:cs="Arial"/>
            <w:noProof/>
            <w:webHidden/>
          </w:rPr>
          <w:fldChar w:fldCharType="end"/>
        </w:r>
      </w:hyperlink>
    </w:p>
    <w:p w14:paraId="3BCB74BC" w14:textId="13DBF40D"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32" w:history="1">
        <w:r w:rsidR="0022529A" w:rsidRPr="00012C28">
          <w:rPr>
            <w:rStyle w:val="Hyperlink"/>
            <w:rFonts w:ascii="Arial" w:hAnsi="Arial" w:cs="Arial"/>
            <w:noProof/>
          </w:rPr>
          <w:t>2.3</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Risk management</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_Toc481153332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5</w:t>
        </w:r>
        <w:r w:rsidR="0022529A" w:rsidRPr="00012C28">
          <w:rPr>
            <w:rFonts w:ascii="Arial" w:hAnsi="Arial" w:cs="Arial"/>
            <w:noProof/>
            <w:webHidden/>
          </w:rPr>
          <w:fldChar w:fldCharType="end"/>
        </w:r>
      </w:hyperlink>
    </w:p>
    <w:p w14:paraId="074A122A" w14:textId="254B5C65" w:rsidR="0022529A" w:rsidRPr="00012C28" w:rsidRDefault="008445A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81153333" w:history="1">
        <w:r w:rsidR="0022529A" w:rsidRPr="00012C28">
          <w:rPr>
            <w:rStyle w:val="Hyperlink"/>
            <w:rFonts w:ascii="Arial" w:hAnsi="Arial" w:cs="Arial"/>
            <w:noProof/>
          </w:rPr>
          <w:t>2.3.1</w:t>
        </w:r>
        <w:r w:rsidR="0022529A" w:rsidRPr="00012C28">
          <w:rPr>
            <w:rFonts w:ascii="Arial" w:eastAsiaTheme="minorEastAsia" w:hAnsi="Arial" w:cs="Arial"/>
            <w:i w:val="0"/>
            <w:iCs w:val="0"/>
            <w:noProof/>
            <w:sz w:val="22"/>
            <w:szCs w:val="22"/>
            <w:lang w:val="en-NZ" w:eastAsia="en-NZ" w:bidi="ar-SA"/>
          </w:rPr>
          <w:tab/>
        </w:r>
        <w:r w:rsidR="0022529A" w:rsidRPr="00012C28">
          <w:rPr>
            <w:rStyle w:val="Hyperlink"/>
            <w:rFonts w:ascii="Arial" w:hAnsi="Arial" w:cs="Arial"/>
            <w:noProof/>
          </w:rPr>
          <w:t>Levels of addition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_Toc481153333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5</w:t>
        </w:r>
        <w:r w:rsidR="0022529A" w:rsidRPr="00012C28">
          <w:rPr>
            <w:rFonts w:ascii="Arial" w:hAnsi="Arial" w:cs="Arial"/>
            <w:noProof/>
            <w:webHidden/>
          </w:rPr>
          <w:fldChar w:fldCharType="end"/>
        </w:r>
      </w:hyperlink>
    </w:p>
    <w:p w14:paraId="3FA77BC5" w14:textId="2A2FC210" w:rsidR="0022529A" w:rsidRPr="00012C28" w:rsidRDefault="008445A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81153334" w:history="1">
        <w:r w:rsidR="0022529A" w:rsidRPr="00012C28">
          <w:rPr>
            <w:rStyle w:val="Hyperlink"/>
            <w:rFonts w:ascii="Arial" w:hAnsi="Arial" w:cs="Arial"/>
            <w:noProof/>
          </w:rPr>
          <w:t>2.3.2</w:t>
        </w:r>
        <w:r w:rsidR="0022529A" w:rsidRPr="00012C28">
          <w:rPr>
            <w:rFonts w:ascii="Arial" w:eastAsiaTheme="minorEastAsia" w:hAnsi="Arial" w:cs="Arial"/>
            <w:i w:val="0"/>
            <w:iCs w:val="0"/>
            <w:noProof/>
            <w:sz w:val="22"/>
            <w:szCs w:val="22"/>
            <w:lang w:val="en-NZ" w:eastAsia="en-NZ" w:bidi="ar-SA"/>
          </w:rPr>
          <w:tab/>
        </w:r>
        <w:r w:rsidR="0022529A" w:rsidRPr="00012C28">
          <w:rPr>
            <w:rStyle w:val="Hyperlink"/>
            <w:rFonts w:ascii="Arial" w:hAnsi="Arial" w:cs="Arial"/>
            <w:noProof/>
          </w:rPr>
          <w:t>Specification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_Toc481153334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5</w:t>
        </w:r>
        <w:r w:rsidR="0022529A" w:rsidRPr="00012C28">
          <w:rPr>
            <w:rFonts w:ascii="Arial" w:hAnsi="Arial" w:cs="Arial"/>
            <w:noProof/>
            <w:webHidden/>
          </w:rPr>
          <w:fldChar w:fldCharType="end"/>
        </w:r>
      </w:hyperlink>
    </w:p>
    <w:p w14:paraId="17441C58" w14:textId="518C9B4E" w:rsidR="0022529A" w:rsidRPr="00012C28" w:rsidRDefault="008445A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81153335" w:history="1">
        <w:r w:rsidR="0022529A" w:rsidRPr="00012C28">
          <w:rPr>
            <w:rStyle w:val="Hyperlink"/>
            <w:rFonts w:ascii="Arial" w:hAnsi="Arial" w:cs="Arial"/>
            <w:noProof/>
          </w:rPr>
          <w:t>2.3.3</w:t>
        </w:r>
        <w:r w:rsidR="0022529A" w:rsidRPr="00012C28">
          <w:rPr>
            <w:rFonts w:ascii="Arial" w:eastAsiaTheme="minorEastAsia" w:hAnsi="Arial" w:cs="Arial"/>
            <w:i w:val="0"/>
            <w:iCs w:val="0"/>
            <w:noProof/>
            <w:sz w:val="22"/>
            <w:szCs w:val="22"/>
            <w:lang w:val="en-NZ" w:eastAsia="en-NZ" w:bidi="ar-SA"/>
          </w:rPr>
          <w:tab/>
        </w:r>
        <w:r w:rsidR="0022529A" w:rsidRPr="00012C28">
          <w:rPr>
            <w:rStyle w:val="Hyperlink"/>
            <w:rFonts w:ascii="Arial" w:hAnsi="Arial" w:cs="Arial"/>
            <w:noProof/>
          </w:rPr>
          <w:t>Labelling</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_Toc481153335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5</w:t>
        </w:r>
        <w:r w:rsidR="0022529A" w:rsidRPr="00012C28">
          <w:rPr>
            <w:rFonts w:ascii="Arial" w:hAnsi="Arial" w:cs="Arial"/>
            <w:noProof/>
            <w:webHidden/>
          </w:rPr>
          <w:fldChar w:fldCharType="end"/>
        </w:r>
      </w:hyperlink>
    </w:p>
    <w:p w14:paraId="2B002566" w14:textId="15B27DF7" w:rsidR="0022529A" w:rsidRPr="00012C28" w:rsidRDefault="008445A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81153336" w:history="1">
        <w:r w:rsidR="0022529A" w:rsidRPr="00012C28">
          <w:rPr>
            <w:rStyle w:val="Hyperlink"/>
            <w:rFonts w:ascii="Arial" w:hAnsi="Arial" w:cs="Arial"/>
            <w:noProof/>
          </w:rPr>
          <w:t>2.3.4</w:t>
        </w:r>
        <w:r w:rsidR="0022529A" w:rsidRPr="00012C28">
          <w:rPr>
            <w:rFonts w:ascii="Arial" w:eastAsiaTheme="minorEastAsia" w:hAnsi="Arial" w:cs="Arial"/>
            <w:i w:val="0"/>
            <w:iCs w:val="0"/>
            <w:noProof/>
            <w:sz w:val="22"/>
            <w:szCs w:val="22"/>
            <w:lang w:val="en-NZ" w:eastAsia="en-NZ" w:bidi="ar-SA"/>
          </w:rPr>
          <w:tab/>
        </w:r>
        <w:r w:rsidR="0022529A" w:rsidRPr="00012C28">
          <w:rPr>
            <w:rStyle w:val="Hyperlink"/>
            <w:rFonts w:ascii="Arial" w:hAnsi="Arial" w:cs="Arial"/>
            <w:noProof/>
          </w:rPr>
          <w:t>International and national standards</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_Toc481153336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5</w:t>
        </w:r>
        <w:r w:rsidR="0022529A" w:rsidRPr="00012C28">
          <w:rPr>
            <w:rFonts w:ascii="Arial" w:hAnsi="Arial" w:cs="Arial"/>
            <w:noProof/>
            <w:webHidden/>
          </w:rPr>
          <w:fldChar w:fldCharType="end"/>
        </w:r>
      </w:hyperlink>
    </w:p>
    <w:p w14:paraId="3FA79432" w14:textId="72E03EB6"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37" w:history="1">
        <w:r w:rsidR="0022529A" w:rsidRPr="00012C28">
          <w:rPr>
            <w:rStyle w:val="Hyperlink"/>
            <w:rFonts w:ascii="Arial" w:hAnsi="Arial" w:cs="Arial"/>
            <w:noProof/>
          </w:rPr>
          <w:t>2.4</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Risk communication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_Toc481153337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6</w:t>
        </w:r>
        <w:r w:rsidR="0022529A" w:rsidRPr="00012C28">
          <w:rPr>
            <w:rFonts w:ascii="Arial" w:hAnsi="Arial" w:cs="Arial"/>
            <w:noProof/>
            <w:webHidden/>
          </w:rPr>
          <w:fldChar w:fldCharType="end"/>
        </w:r>
      </w:hyperlink>
    </w:p>
    <w:p w14:paraId="1AED0959" w14:textId="7476BD39" w:rsidR="0022529A" w:rsidRPr="00012C28" w:rsidRDefault="008445A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81153338" w:history="1">
        <w:r w:rsidR="0022529A" w:rsidRPr="00012C28">
          <w:rPr>
            <w:rStyle w:val="Hyperlink"/>
            <w:rFonts w:ascii="Arial" w:hAnsi="Arial" w:cs="Arial"/>
            <w:noProof/>
          </w:rPr>
          <w:t>2.4.1</w:t>
        </w:r>
        <w:r w:rsidR="0022529A" w:rsidRPr="00012C28">
          <w:rPr>
            <w:rFonts w:ascii="Arial" w:eastAsiaTheme="minorEastAsia" w:hAnsi="Arial" w:cs="Arial"/>
            <w:i w:val="0"/>
            <w:iCs w:val="0"/>
            <w:noProof/>
            <w:sz w:val="22"/>
            <w:szCs w:val="22"/>
            <w:lang w:val="en-NZ" w:eastAsia="en-NZ" w:bidi="ar-SA"/>
          </w:rPr>
          <w:tab/>
        </w:r>
        <w:r w:rsidR="0022529A" w:rsidRPr="00012C28">
          <w:rPr>
            <w:rStyle w:val="Hyperlink"/>
            <w:rFonts w:ascii="Arial" w:hAnsi="Arial" w:cs="Arial"/>
            <w:noProof/>
          </w:rPr>
          <w:t>Consultation</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_Toc481153338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6</w:t>
        </w:r>
        <w:r w:rsidR="0022529A" w:rsidRPr="00012C28">
          <w:rPr>
            <w:rFonts w:ascii="Arial" w:hAnsi="Arial" w:cs="Arial"/>
            <w:noProof/>
            <w:webHidden/>
          </w:rPr>
          <w:fldChar w:fldCharType="end"/>
        </w:r>
      </w:hyperlink>
    </w:p>
    <w:p w14:paraId="128C643E" w14:textId="41A9EA52" w:rsidR="0022529A" w:rsidRPr="00012C28" w:rsidRDefault="008445AC">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81153339" w:history="1">
        <w:r w:rsidR="0022529A" w:rsidRPr="00012C28">
          <w:rPr>
            <w:rStyle w:val="Hyperlink"/>
            <w:rFonts w:ascii="Arial" w:hAnsi="Arial" w:cs="Arial"/>
            <w:noProof/>
          </w:rPr>
          <w:t>2.5</w:t>
        </w:r>
        <w:r w:rsidR="0022529A" w:rsidRPr="00012C28">
          <w:rPr>
            <w:rFonts w:ascii="Arial" w:eastAsiaTheme="minorEastAsia" w:hAnsi="Arial" w:cs="Arial"/>
            <w:smallCaps w:val="0"/>
            <w:noProof/>
            <w:sz w:val="22"/>
            <w:szCs w:val="22"/>
            <w:lang w:val="en-NZ" w:eastAsia="en-NZ" w:bidi="ar-SA"/>
          </w:rPr>
          <w:tab/>
        </w:r>
        <w:r w:rsidR="0022529A" w:rsidRPr="00012C28">
          <w:rPr>
            <w:rStyle w:val="Hyperlink"/>
            <w:rFonts w:ascii="Arial" w:hAnsi="Arial" w:cs="Arial"/>
            <w:noProof/>
          </w:rPr>
          <w:t>FSANZ Act assessment requirements</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_Toc481153339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6</w:t>
        </w:r>
        <w:r w:rsidR="0022529A" w:rsidRPr="00012C28">
          <w:rPr>
            <w:rFonts w:ascii="Arial" w:hAnsi="Arial" w:cs="Arial"/>
            <w:noProof/>
            <w:webHidden/>
          </w:rPr>
          <w:fldChar w:fldCharType="end"/>
        </w:r>
      </w:hyperlink>
    </w:p>
    <w:p w14:paraId="2EEE47E3" w14:textId="44E58030" w:rsidR="0022529A" w:rsidRPr="00012C28" w:rsidRDefault="008445AC">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81153340" w:history="1">
        <w:r w:rsidR="0022529A" w:rsidRPr="00012C28">
          <w:rPr>
            <w:rStyle w:val="Hyperlink"/>
            <w:rFonts w:ascii="Arial" w:hAnsi="Arial" w:cs="Arial"/>
            <w:noProof/>
          </w:rPr>
          <w:t>2.5.1</w:t>
        </w:r>
        <w:r w:rsidR="0022529A" w:rsidRPr="00012C28">
          <w:rPr>
            <w:rFonts w:ascii="Arial" w:eastAsiaTheme="minorEastAsia" w:hAnsi="Arial" w:cs="Arial"/>
            <w:i w:val="0"/>
            <w:iCs w:val="0"/>
            <w:noProof/>
            <w:sz w:val="22"/>
            <w:szCs w:val="22"/>
            <w:lang w:val="en-NZ" w:eastAsia="en-NZ" w:bidi="ar-SA"/>
          </w:rPr>
          <w:tab/>
        </w:r>
        <w:r w:rsidR="0022529A" w:rsidRPr="00012C28">
          <w:rPr>
            <w:rStyle w:val="Hyperlink"/>
            <w:rFonts w:ascii="Arial" w:hAnsi="Arial" w:cs="Arial"/>
            <w:noProof/>
          </w:rPr>
          <w:t>Section 29</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_Toc481153340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6</w:t>
        </w:r>
        <w:r w:rsidR="0022529A" w:rsidRPr="00012C28">
          <w:rPr>
            <w:rFonts w:ascii="Arial" w:hAnsi="Arial" w:cs="Arial"/>
            <w:noProof/>
            <w:webHidden/>
          </w:rPr>
          <w:fldChar w:fldCharType="end"/>
        </w:r>
      </w:hyperlink>
    </w:p>
    <w:p w14:paraId="06488D22" w14:textId="6FECF468" w:rsidR="0022529A" w:rsidRPr="00012C28" w:rsidRDefault="008445AC">
      <w:pPr>
        <w:pStyle w:val="TOC3"/>
        <w:tabs>
          <w:tab w:val="left" w:pos="1320"/>
          <w:tab w:val="right" w:leader="dot" w:pos="9060"/>
        </w:tabs>
        <w:rPr>
          <w:rFonts w:ascii="Arial" w:eastAsiaTheme="minorEastAsia" w:hAnsi="Arial" w:cs="Arial"/>
          <w:i w:val="0"/>
          <w:iCs w:val="0"/>
          <w:noProof/>
          <w:sz w:val="22"/>
          <w:szCs w:val="22"/>
          <w:lang w:val="en-NZ" w:eastAsia="en-NZ" w:bidi="ar-SA"/>
        </w:rPr>
      </w:pPr>
      <w:hyperlink w:anchor="_Toc481153341" w:history="1">
        <w:r w:rsidR="0022529A" w:rsidRPr="00012C28">
          <w:rPr>
            <w:rStyle w:val="Hyperlink"/>
            <w:rFonts w:ascii="Arial" w:hAnsi="Arial" w:cs="Arial"/>
            <w:noProof/>
          </w:rPr>
          <w:t>2.5.2.</w:t>
        </w:r>
        <w:r w:rsidR="0022529A" w:rsidRPr="00012C28">
          <w:rPr>
            <w:rFonts w:ascii="Arial" w:eastAsiaTheme="minorEastAsia" w:hAnsi="Arial" w:cs="Arial"/>
            <w:i w:val="0"/>
            <w:iCs w:val="0"/>
            <w:noProof/>
            <w:sz w:val="22"/>
            <w:szCs w:val="22"/>
            <w:lang w:val="en-NZ" w:eastAsia="en-NZ" w:bidi="ar-SA"/>
          </w:rPr>
          <w:tab/>
        </w:r>
        <w:r w:rsidR="0022529A" w:rsidRPr="00012C28">
          <w:rPr>
            <w:rStyle w:val="Hyperlink"/>
            <w:rFonts w:ascii="Arial" w:hAnsi="Arial" w:cs="Arial"/>
            <w:noProof/>
          </w:rPr>
          <w:t>Subsection 18(1)</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_Toc481153341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7</w:t>
        </w:r>
        <w:r w:rsidR="0022529A" w:rsidRPr="00012C28">
          <w:rPr>
            <w:rFonts w:ascii="Arial" w:hAnsi="Arial" w:cs="Arial"/>
            <w:noProof/>
            <w:webHidden/>
          </w:rPr>
          <w:fldChar w:fldCharType="end"/>
        </w:r>
      </w:hyperlink>
    </w:p>
    <w:p w14:paraId="285B17A3" w14:textId="0D220A0F" w:rsidR="0022529A" w:rsidRPr="00012C28" w:rsidRDefault="008445AC">
      <w:pPr>
        <w:pStyle w:val="TOC2"/>
        <w:tabs>
          <w:tab w:val="right" w:leader="dot" w:pos="9060"/>
        </w:tabs>
        <w:rPr>
          <w:rFonts w:ascii="Arial" w:eastAsiaTheme="minorEastAsia" w:hAnsi="Arial" w:cs="Arial"/>
          <w:smallCaps w:val="0"/>
          <w:noProof/>
          <w:sz w:val="22"/>
          <w:szCs w:val="22"/>
          <w:lang w:val="en-NZ" w:eastAsia="en-NZ" w:bidi="ar-SA"/>
        </w:rPr>
      </w:pPr>
      <w:hyperlink w:anchor="_Toc481153342" w:history="1">
        <w:r w:rsidR="0022529A" w:rsidRPr="00012C28">
          <w:rPr>
            <w:rStyle w:val="Hyperlink"/>
            <w:rFonts w:ascii="Arial" w:hAnsi="Arial" w:cs="Arial"/>
            <w:noProof/>
          </w:rPr>
          <w:t xml:space="preserve">Attachment A – Approved draft variation to the </w:t>
        </w:r>
        <w:r w:rsidR="0022529A" w:rsidRPr="00012C28">
          <w:rPr>
            <w:rStyle w:val="Hyperlink"/>
            <w:rFonts w:ascii="Arial" w:hAnsi="Arial" w:cs="Arial"/>
            <w:i/>
            <w:noProof/>
          </w:rPr>
          <w:t>Australia New Zealand Food Standards Code</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_Toc481153342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10</w:t>
        </w:r>
        <w:r w:rsidR="0022529A" w:rsidRPr="00012C28">
          <w:rPr>
            <w:rFonts w:ascii="Arial" w:hAnsi="Arial" w:cs="Arial"/>
            <w:noProof/>
            <w:webHidden/>
          </w:rPr>
          <w:fldChar w:fldCharType="end"/>
        </w:r>
      </w:hyperlink>
    </w:p>
    <w:p w14:paraId="49A68A3A" w14:textId="0CC32F80" w:rsidR="0022529A" w:rsidRPr="00012C28" w:rsidRDefault="008445AC">
      <w:pPr>
        <w:pStyle w:val="TOC2"/>
        <w:tabs>
          <w:tab w:val="right" w:leader="dot" w:pos="9060"/>
        </w:tabs>
        <w:rPr>
          <w:rFonts w:ascii="Arial" w:eastAsiaTheme="minorEastAsia" w:hAnsi="Arial" w:cs="Arial"/>
          <w:smallCaps w:val="0"/>
          <w:noProof/>
          <w:sz w:val="22"/>
          <w:szCs w:val="22"/>
          <w:lang w:val="en-NZ" w:eastAsia="en-NZ" w:bidi="ar-SA"/>
        </w:rPr>
      </w:pPr>
      <w:hyperlink w:anchor="_Toc481153343" w:history="1">
        <w:r w:rsidR="0022529A" w:rsidRPr="00012C28">
          <w:rPr>
            <w:rStyle w:val="Hyperlink"/>
            <w:rFonts w:ascii="Arial" w:hAnsi="Arial" w:cs="Arial"/>
            <w:noProof/>
          </w:rPr>
          <w:t>Attachment B – Explanatory Statement</w:t>
        </w:r>
        <w:r w:rsidR="0022529A" w:rsidRPr="00012C28">
          <w:rPr>
            <w:rFonts w:ascii="Arial" w:hAnsi="Arial" w:cs="Arial"/>
            <w:noProof/>
            <w:webHidden/>
          </w:rPr>
          <w:tab/>
        </w:r>
        <w:r w:rsidR="0022529A" w:rsidRPr="00012C28">
          <w:rPr>
            <w:rFonts w:ascii="Arial" w:hAnsi="Arial" w:cs="Arial"/>
            <w:noProof/>
            <w:webHidden/>
          </w:rPr>
          <w:fldChar w:fldCharType="begin"/>
        </w:r>
        <w:r w:rsidR="0022529A" w:rsidRPr="00012C28">
          <w:rPr>
            <w:rFonts w:ascii="Arial" w:hAnsi="Arial" w:cs="Arial"/>
            <w:noProof/>
            <w:webHidden/>
          </w:rPr>
          <w:instrText xml:space="preserve"> PAGEREF _Toc481153343 \h </w:instrText>
        </w:r>
        <w:r w:rsidR="0022529A" w:rsidRPr="00012C28">
          <w:rPr>
            <w:rFonts w:ascii="Arial" w:hAnsi="Arial" w:cs="Arial"/>
            <w:noProof/>
            <w:webHidden/>
          </w:rPr>
        </w:r>
        <w:r w:rsidR="0022529A" w:rsidRPr="00012C28">
          <w:rPr>
            <w:rFonts w:ascii="Arial" w:hAnsi="Arial" w:cs="Arial"/>
            <w:noProof/>
            <w:webHidden/>
          </w:rPr>
          <w:fldChar w:fldCharType="separate"/>
        </w:r>
        <w:r>
          <w:rPr>
            <w:rFonts w:ascii="Arial" w:hAnsi="Arial" w:cs="Arial"/>
            <w:noProof/>
            <w:webHidden/>
          </w:rPr>
          <w:t>12</w:t>
        </w:r>
        <w:r w:rsidR="0022529A" w:rsidRPr="00012C28">
          <w:rPr>
            <w:rFonts w:ascii="Arial" w:hAnsi="Arial" w:cs="Arial"/>
            <w:noProof/>
            <w:webHidden/>
          </w:rPr>
          <w:fldChar w:fldCharType="end"/>
        </w:r>
      </w:hyperlink>
    </w:p>
    <w:p w14:paraId="7565BFF6" w14:textId="16FA2BCC" w:rsidR="0012388D" w:rsidRDefault="00B55714" w:rsidP="00C91C02">
      <w:r w:rsidRPr="00012C28">
        <w:rPr>
          <w:rFonts w:cs="Arial"/>
          <w:sz w:val="20"/>
          <w:szCs w:val="20"/>
        </w:rPr>
        <w:fldChar w:fldCharType="end"/>
      </w:r>
    </w:p>
    <w:p w14:paraId="5B824091" w14:textId="77777777" w:rsidR="007F7BF7" w:rsidRDefault="007F7BF7" w:rsidP="00CA5734"/>
    <w:p w14:paraId="2EF3F2CA" w14:textId="6FDA08ED"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5FB5E960" w14:textId="77777777" w:rsidR="00A671E6" w:rsidRPr="0089264A" w:rsidRDefault="00A671E6" w:rsidP="00A671E6">
      <w:pPr>
        <w:rPr>
          <w:szCs w:val="22"/>
        </w:rPr>
      </w:pPr>
    </w:p>
    <w:p w14:paraId="60C6F857" w14:textId="39D8E1CE" w:rsidR="007A53BF" w:rsidRPr="008227B8" w:rsidRDefault="007A53BF" w:rsidP="007A53BF">
      <w:pPr>
        <w:rPr>
          <w:szCs w:val="22"/>
        </w:rPr>
      </w:pPr>
      <w:r w:rsidRPr="0089264A">
        <w:rPr>
          <w:szCs w:val="22"/>
        </w:rPr>
        <w:t xml:space="preserve">The </w:t>
      </w:r>
      <w:hyperlink r:id="rId18" w:history="1">
        <w:r w:rsidRPr="008227B8">
          <w:rPr>
            <w:rStyle w:val="Hyperlink"/>
            <w:szCs w:val="22"/>
          </w:rPr>
          <w:t>following document</w:t>
        </w:r>
      </w:hyperlink>
      <w:r w:rsidRPr="0089264A">
        <w:rPr>
          <w:szCs w:val="22"/>
        </w:rPr>
        <w:t xml:space="preserve"> </w:t>
      </w:r>
      <w:r>
        <w:rPr>
          <w:szCs w:val="22"/>
        </w:rPr>
        <w:t xml:space="preserve">which informed </w:t>
      </w:r>
      <w:r w:rsidRPr="008227B8">
        <w:rPr>
          <w:szCs w:val="22"/>
        </w:rPr>
        <w:t xml:space="preserve">the assessment of this Application </w:t>
      </w:r>
      <w:r w:rsidR="008227B8" w:rsidRPr="008227B8">
        <w:rPr>
          <w:szCs w:val="22"/>
        </w:rPr>
        <w:t>is</w:t>
      </w:r>
      <w:r w:rsidRPr="008227B8">
        <w:rPr>
          <w:szCs w:val="22"/>
        </w:rPr>
        <w:t xml:space="preserve"> available on the FSANZ website</w:t>
      </w:r>
      <w:r w:rsidR="00FF3E26" w:rsidRPr="008227B8">
        <w:rPr>
          <w:szCs w:val="22"/>
        </w:rPr>
        <w:t>:</w:t>
      </w:r>
    </w:p>
    <w:p w14:paraId="4C321418" w14:textId="77777777" w:rsidR="007A53BF" w:rsidRPr="008227B8" w:rsidRDefault="007A53BF" w:rsidP="007A53BF">
      <w:pPr>
        <w:rPr>
          <w:szCs w:val="22"/>
        </w:rPr>
      </w:pPr>
    </w:p>
    <w:p w14:paraId="3839CB8A" w14:textId="58888B97" w:rsidR="007A53BF" w:rsidRPr="008227B8" w:rsidRDefault="007A53BF" w:rsidP="007A53BF">
      <w:pPr>
        <w:ind w:left="1134" w:hanging="1134"/>
      </w:pPr>
      <w:r w:rsidRPr="008227B8">
        <w:t>SD1</w:t>
      </w:r>
      <w:r w:rsidRPr="008227B8">
        <w:tab/>
      </w:r>
      <w:r w:rsidR="008227B8" w:rsidRPr="008227B8">
        <w:t>Risk and Technical Assessment</w:t>
      </w:r>
    </w:p>
    <w:p w14:paraId="1C42396A" w14:textId="77777777" w:rsidR="003C4969" w:rsidRPr="008227B8" w:rsidRDefault="00D15A08" w:rsidP="009A2699">
      <w:pPr>
        <w:spacing w:line="280" w:lineRule="exact"/>
        <w:ind w:left="851" w:hanging="851"/>
        <w:outlineLvl w:val="3"/>
        <w:rPr>
          <w:vanish/>
        </w:rPr>
      </w:pPr>
      <w:r w:rsidRPr="008227B8">
        <w:br w:type="page"/>
      </w:r>
    </w:p>
    <w:p w14:paraId="33A1478A" w14:textId="77777777" w:rsidR="007A53BF" w:rsidRPr="00181BD5" w:rsidRDefault="007A53BF" w:rsidP="00CE59AA">
      <w:pPr>
        <w:pStyle w:val="Heading1"/>
      </w:pPr>
      <w:bookmarkStart w:id="0" w:name="_Toc286391001"/>
      <w:bookmarkStart w:id="1" w:name="_Toc300933414"/>
      <w:bookmarkStart w:id="2" w:name="_Toc370223463"/>
      <w:bookmarkStart w:id="3" w:name="_Toc481153321"/>
      <w:bookmarkStart w:id="4" w:name="_Toc11735627"/>
      <w:bookmarkStart w:id="5" w:name="_Toc29883110"/>
      <w:bookmarkStart w:id="6" w:name="_Toc41906797"/>
      <w:bookmarkStart w:id="7" w:name="_Toc41907544"/>
      <w:bookmarkStart w:id="8" w:name="_Toc120358575"/>
      <w:r w:rsidRPr="007A53BF">
        <w:t>Exec</w:t>
      </w:r>
      <w:r w:rsidRPr="00181BD5">
        <w:t>utive summary</w:t>
      </w:r>
      <w:bookmarkEnd w:id="0"/>
      <w:bookmarkEnd w:id="1"/>
      <w:bookmarkEnd w:id="2"/>
      <w:bookmarkEnd w:id="3"/>
    </w:p>
    <w:p w14:paraId="2EED65E6" w14:textId="002351AE" w:rsidR="00181BD5" w:rsidRPr="00181BD5" w:rsidRDefault="00181BD5" w:rsidP="00181BD5">
      <w:pPr>
        <w:rPr>
          <w:lang w:bidi="ar-SA"/>
        </w:rPr>
      </w:pPr>
      <w:r w:rsidRPr="00181BD5">
        <w:rPr>
          <w:lang w:bidi="ar-SA"/>
        </w:rPr>
        <w:t xml:space="preserve">The Winemakers’ Federation of Australia (WFA), the national peak body for Australia’s winemakers, submitted an Application to amend the Australia only Standard 4.5.1 – Wine Production Requirements in the </w:t>
      </w:r>
      <w:r w:rsidRPr="00181BD5">
        <w:rPr>
          <w:i/>
          <w:lang w:bidi="ar-SA"/>
        </w:rPr>
        <w:t>Australia New Zealand Food Standards Code</w:t>
      </w:r>
      <w:r w:rsidRPr="00181BD5">
        <w:rPr>
          <w:lang w:bidi="ar-SA"/>
        </w:rPr>
        <w:t xml:space="preserve"> (the Code). The purpose is to permit Australian winemakers to use pectins and carrageenan to help remove heat unstable proteins from wine.</w:t>
      </w:r>
    </w:p>
    <w:p w14:paraId="646AEB17" w14:textId="77777777" w:rsidR="00181BD5" w:rsidRPr="00181BD5" w:rsidRDefault="00181BD5" w:rsidP="00181BD5">
      <w:pPr>
        <w:rPr>
          <w:lang w:bidi="ar-SA"/>
        </w:rPr>
      </w:pPr>
    </w:p>
    <w:p w14:paraId="796E5B2D" w14:textId="3BD4E44A" w:rsidR="00181BD5" w:rsidRDefault="00030F65" w:rsidP="00181BD5">
      <w:pPr>
        <w:rPr>
          <w:lang w:bidi="ar-SA"/>
        </w:rPr>
      </w:pPr>
      <w:r w:rsidRPr="00030F65">
        <w:rPr>
          <w:lang w:bidi="ar-SA"/>
        </w:rPr>
        <w:t>The Application sought to extend current permissions in the Code. Pectins and carrageenan are generally permitted as processing aids in the manufacture of all foods, including wine. However, wine produced in Australia must also comply with the requirements of Standard 4.5.1, which sets out requirements particular to Australian domestic wine production and operates as a limitation of the general permissions in Part 1.3 of the Code. Only the processing aids listed in the Table to clause 4 in Standard 4.5.1 can be used in wine production in Australia. Pectins and carrageenan are not currently listed in this Table and the proposed variation removes a restriction imposed by Standard 4.5.1.</w:t>
      </w:r>
    </w:p>
    <w:p w14:paraId="43A2BF54" w14:textId="77777777" w:rsidR="00030F65" w:rsidRPr="00181BD5" w:rsidRDefault="00030F65" w:rsidP="00181BD5">
      <w:pPr>
        <w:rPr>
          <w:lang w:bidi="ar-SA"/>
        </w:rPr>
      </w:pPr>
    </w:p>
    <w:p w14:paraId="19ACC0AA" w14:textId="7B1116E2" w:rsidR="00181BD5" w:rsidRPr="00181BD5" w:rsidRDefault="00181BD5" w:rsidP="00181BD5">
      <w:pPr>
        <w:rPr>
          <w:lang w:bidi="ar-SA"/>
        </w:rPr>
      </w:pPr>
      <w:r w:rsidRPr="00181BD5">
        <w:rPr>
          <w:lang w:bidi="ar-SA"/>
        </w:rPr>
        <w:t xml:space="preserve">FSANZ determined that there is sufficient evidence to provide assurance that pectins and carrageenan are technologically justified and are effective in achieving their stated purpose (i.e. as fining agents that remove heat unstable proteins). Specifications already exist in the Code. </w:t>
      </w:r>
    </w:p>
    <w:p w14:paraId="13680237" w14:textId="77777777" w:rsidR="00181BD5" w:rsidRPr="00181BD5" w:rsidRDefault="00181BD5" w:rsidP="00181BD5">
      <w:pPr>
        <w:rPr>
          <w:lang w:bidi="ar-SA"/>
        </w:rPr>
      </w:pPr>
    </w:p>
    <w:p w14:paraId="1829C443" w14:textId="45B2797F" w:rsidR="00181BD5" w:rsidRPr="00181BD5" w:rsidRDefault="00181BD5" w:rsidP="00181BD5">
      <w:pPr>
        <w:rPr>
          <w:lang w:bidi="ar-SA"/>
        </w:rPr>
      </w:pPr>
      <w:r w:rsidRPr="00181BD5">
        <w:rPr>
          <w:lang w:bidi="ar-SA"/>
        </w:rPr>
        <w:t xml:space="preserve">FSANZ’s risk assessment concluded that there are no public health and safety concerns from using pectins or carrageenan as processing aids </w:t>
      </w:r>
      <w:r w:rsidR="000B2AF2">
        <w:rPr>
          <w:lang w:bidi="ar-SA"/>
        </w:rPr>
        <w:t xml:space="preserve">to manufacture </w:t>
      </w:r>
      <w:r w:rsidRPr="00181BD5">
        <w:rPr>
          <w:lang w:bidi="ar-SA"/>
        </w:rPr>
        <w:t>wine in Australia. In the absence of any identifiable hazard an Acceptable Daily Intake (ADI) ‘not specified’ remains appropriate for both pectins and carrageenan. A dietary exposure assessment was therefore not required.</w:t>
      </w:r>
    </w:p>
    <w:p w14:paraId="155AEE5F" w14:textId="77777777" w:rsidR="00181BD5" w:rsidRPr="00181BD5" w:rsidRDefault="00181BD5" w:rsidP="00181BD5">
      <w:pPr>
        <w:rPr>
          <w:lang w:bidi="ar-SA"/>
        </w:rPr>
      </w:pPr>
    </w:p>
    <w:p w14:paraId="5C77768C" w14:textId="0E0B8C39" w:rsidR="00181BD5" w:rsidRPr="00181BD5" w:rsidRDefault="000B2AF2" w:rsidP="00181BD5">
      <w:pPr>
        <w:rPr>
          <w:lang w:bidi="ar-SA"/>
        </w:rPr>
      </w:pPr>
      <w:r>
        <w:rPr>
          <w:lang w:bidi="ar-SA"/>
        </w:rPr>
        <w:t>R</w:t>
      </w:r>
      <w:r w:rsidR="00181BD5" w:rsidRPr="00181BD5">
        <w:rPr>
          <w:lang w:bidi="ar-SA"/>
        </w:rPr>
        <w:t xml:space="preserve">isk management issues considered include the identity and characteristics of pectins and carrageenan; the absence of public health and safety issues arising from their use; information about purity and absence of contaminants and allergens, and the technological use and potential presence in the final food. </w:t>
      </w:r>
    </w:p>
    <w:p w14:paraId="6E0BB000" w14:textId="77777777" w:rsidR="00181BD5" w:rsidRPr="00181BD5" w:rsidRDefault="00181BD5" w:rsidP="00181BD5">
      <w:pPr>
        <w:rPr>
          <w:lang w:bidi="ar-SA"/>
        </w:rPr>
      </w:pPr>
    </w:p>
    <w:p w14:paraId="516BD35B" w14:textId="77777777" w:rsidR="00181BD5" w:rsidRPr="00181BD5" w:rsidRDefault="00181BD5" w:rsidP="00181BD5">
      <w:pPr>
        <w:rPr>
          <w:lang w:bidi="ar-SA"/>
        </w:rPr>
      </w:pPr>
      <w:r w:rsidRPr="00181BD5">
        <w:rPr>
          <w:lang w:bidi="ar-SA"/>
        </w:rPr>
        <w:t xml:space="preserve">FSANZ has considered the potential impacts of approving this Application on consumers, the food industry, and enforcement agencies. FSANZ considers that the benefits that would arise from permitting the use of pectins and carrageenan as processing aids in the manufacture of wine in Australia would outweigh the costs. </w:t>
      </w:r>
    </w:p>
    <w:p w14:paraId="30981E81" w14:textId="77777777" w:rsidR="00181BD5" w:rsidRPr="00181BD5" w:rsidRDefault="00181BD5" w:rsidP="00181BD5">
      <w:pPr>
        <w:rPr>
          <w:lang w:bidi="ar-SA"/>
        </w:rPr>
      </w:pPr>
    </w:p>
    <w:p w14:paraId="44A58002" w14:textId="692CE653" w:rsidR="00181BD5" w:rsidRPr="00181BD5" w:rsidRDefault="00181BD5" w:rsidP="007A53BF">
      <w:pPr>
        <w:rPr>
          <w:lang w:bidi="ar-SA"/>
        </w:rPr>
      </w:pPr>
      <w:r w:rsidRPr="00181BD5">
        <w:rPr>
          <w:lang w:bidi="ar-SA"/>
        </w:rPr>
        <w:t xml:space="preserve">Therefore, a draft variation to amend Standard 4.5.1 to permit </w:t>
      </w:r>
      <w:r w:rsidRPr="00181BD5">
        <w:rPr>
          <w:lang w:val="en-AU" w:bidi="ar-SA"/>
        </w:rPr>
        <w:t>pectins and carrageenan as processing aids in the production of wine in Australia</w:t>
      </w:r>
      <w:r w:rsidRPr="00181BD5">
        <w:rPr>
          <w:lang w:bidi="ar-SA"/>
        </w:rPr>
        <w:t xml:space="preserve"> has been approved.</w:t>
      </w:r>
    </w:p>
    <w:p w14:paraId="013171C4" w14:textId="77777777" w:rsidR="00C836FF" w:rsidRDefault="00C836FF" w:rsidP="002421C1">
      <w:pPr>
        <w:pStyle w:val="Heading1"/>
      </w:pPr>
      <w:r>
        <w:br w:type="page"/>
      </w:r>
    </w:p>
    <w:p w14:paraId="60E62931" w14:textId="77777777" w:rsidR="007A53BF" w:rsidRPr="007A53BF" w:rsidRDefault="007A53BF" w:rsidP="00CE59AA">
      <w:pPr>
        <w:pStyle w:val="Heading1"/>
      </w:pPr>
      <w:bookmarkStart w:id="9" w:name="_Toc300933417"/>
      <w:bookmarkStart w:id="10" w:name="_Toc370223464"/>
      <w:bookmarkStart w:id="11" w:name="_Toc481153322"/>
      <w:r w:rsidRPr="007A53BF">
        <w:lastRenderedPageBreak/>
        <w:t>1</w:t>
      </w:r>
      <w:r w:rsidRPr="007A53BF">
        <w:tab/>
        <w:t>Introduction</w:t>
      </w:r>
      <w:bookmarkEnd w:id="9"/>
      <w:bookmarkEnd w:id="10"/>
      <w:bookmarkEnd w:id="11"/>
    </w:p>
    <w:p w14:paraId="78C73775" w14:textId="702DE26F" w:rsidR="007A53BF" w:rsidRPr="0039338B" w:rsidRDefault="007A53BF" w:rsidP="00CE59AA">
      <w:pPr>
        <w:pStyle w:val="Heading2"/>
      </w:pPr>
      <w:bookmarkStart w:id="12" w:name="_Toc300761890"/>
      <w:bookmarkStart w:id="13" w:name="_Toc300933419"/>
      <w:bookmarkStart w:id="14" w:name="_Toc370223465"/>
      <w:bookmarkStart w:id="15" w:name="_Toc481153323"/>
      <w:r w:rsidRPr="007A53BF">
        <w:t>1.1</w:t>
      </w:r>
      <w:r w:rsidRPr="007A53BF">
        <w:tab/>
        <w:t xml:space="preserve">The </w:t>
      </w:r>
      <w:r w:rsidRPr="0039338B">
        <w:t>Applicant</w:t>
      </w:r>
      <w:bookmarkEnd w:id="12"/>
      <w:bookmarkEnd w:id="13"/>
      <w:bookmarkEnd w:id="14"/>
      <w:bookmarkEnd w:id="15"/>
    </w:p>
    <w:p w14:paraId="0DA77613" w14:textId="699AF0D7" w:rsidR="007A53BF" w:rsidRPr="0039338B" w:rsidRDefault="007A53BF" w:rsidP="007A53BF">
      <w:r w:rsidRPr="0039338B">
        <w:t>T</w:t>
      </w:r>
      <w:r w:rsidR="00281CA3" w:rsidRPr="0039338B">
        <w:t>he Application was submitted by the Winemakers’ Federation of Australia (WFA)—the national peak body for Australia’s winemakers</w:t>
      </w:r>
      <w:r w:rsidR="000B2AF2">
        <w:t>.</w:t>
      </w:r>
    </w:p>
    <w:p w14:paraId="6C696009" w14:textId="28E9C2F7" w:rsidR="007A53BF" w:rsidRPr="00920D1A" w:rsidRDefault="007A53BF" w:rsidP="00CE59AA">
      <w:pPr>
        <w:pStyle w:val="Heading2"/>
      </w:pPr>
      <w:bookmarkStart w:id="16" w:name="_Toc300761891"/>
      <w:bookmarkStart w:id="17" w:name="_Toc300933420"/>
      <w:bookmarkStart w:id="18" w:name="_Toc370223466"/>
      <w:bookmarkStart w:id="19" w:name="_Toc481153324"/>
      <w:r w:rsidRPr="007A53BF">
        <w:t>1.2</w:t>
      </w:r>
      <w:r w:rsidRPr="007A53BF">
        <w:tab/>
      </w:r>
      <w:r w:rsidRPr="00920D1A">
        <w:t>The Application</w:t>
      </w:r>
      <w:bookmarkEnd w:id="16"/>
      <w:bookmarkEnd w:id="17"/>
      <w:bookmarkEnd w:id="18"/>
      <w:bookmarkEnd w:id="19"/>
    </w:p>
    <w:p w14:paraId="21962EC2" w14:textId="5FB383FF" w:rsidR="007A53BF" w:rsidRPr="00920D1A" w:rsidRDefault="00920D1A" w:rsidP="007A53BF">
      <w:r w:rsidRPr="00920D1A">
        <w:t xml:space="preserve">The Application seeks </w:t>
      </w:r>
      <w:r w:rsidR="000B2AF2">
        <w:t xml:space="preserve">to amend </w:t>
      </w:r>
      <w:r w:rsidRPr="00920D1A">
        <w:t xml:space="preserve">the </w:t>
      </w:r>
      <w:r w:rsidRPr="006D71D7">
        <w:rPr>
          <w:i/>
        </w:rPr>
        <w:t>Australia New Zealand Food Standards Code</w:t>
      </w:r>
      <w:r w:rsidRPr="00920D1A">
        <w:t xml:space="preserve"> (the Code) to permit Australian winemakers to use pectins and carrageenan as processing aids, with the technological purpose of fining agents, to help remove heat unstable proteins from wine.</w:t>
      </w:r>
    </w:p>
    <w:p w14:paraId="198C9B20" w14:textId="77777777" w:rsidR="007A53BF" w:rsidRPr="007A53BF" w:rsidRDefault="007A53BF" w:rsidP="00CE59AA">
      <w:pPr>
        <w:pStyle w:val="Heading2"/>
      </w:pPr>
      <w:bookmarkStart w:id="20" w:name="_Toc300761892"/>
      <w:bookmarkStart w:id="21" w:name="_Toc300933421"/>
      <w:bookmarkStart w:id="22" w:name="_Toc370223467"/>
      <w:bookmarkStart w:id="23" w:name="_Toc481153325"/>
      <w:r w:rsidRPr="007A53BF">
        <w:t>1.3</w:t>
      </w:r>
      <w:r w:rsidRPr="007A53BF">
        <w:tab/>
        <w:t>The current Standard</w:t>
      </w:r>
      <w:bookmarkEnd w:id="20"/>
      <w:bookmarkEnd w:id="21"/>
      <w:bookmarkEnd w:id="22"/>
      <w:bookmarkEnd w:id="23"/>
    </w:p>
    <w:p w14:paraId="2BD85EC2" w14:textId="20816B24" w:rsidR="00920D1A" w:rsidRPr="00920D1A" w:rsidRDefault="00920D1A" w:rsidP="00920D1A">
      <w:r w:rsidRPr="006D71D7">
        <w:t xml:space="preserve">Paragraph 1.1.1—10(6)(c) in the Code provides that a food for sale must not have, as an ingredient or </w:t>
      </w:r>
      <w:r w:rsidRPr="00920D1A">
        <w:t xml:space="preserve">a component, a substance that is used as a processing aid unless </w:t>
      </w:r>
      <w:r w:rsidR="006D71D7">
        <w:t>it is</w:t>
      </w:r>
      <w:r w:rsidR="00FC5992">
        <w:t xml:space="preserve"> </w:t>
      </w:r>
      <w:r w:rsidRPr="00920D1A">
        <w:t>expressly permitted. Section 1.1.2—13 defines the expression ‘used as a processing aid’.</w:t>
      </w:r>
    </w:p>
    <w:p w14:paraId="26B7F4CC" w14:textId="77777777" w:rsidR="00920D1A" w:rsidRPr="00920D1A" w:rsidRDefault="00920D1A" w:rsidP="00920D1A"/>
    <w:p w14:paraId="7A36F20C" w14:textId="3EC80108" w:rsidR="00920D1A" w:rsidRPr="00920D1A" w:rsidRDefault="00920D1A" w:rsidP="00920D1A">
      <w:r w:rsidRPr="00920D1A">
        <w:t>Section 1.3.3—4 provides that a food additive permitted at GMP (Good Manufacturing Practice) listed in section S16—2 and any substance listed in section S18—2 are generally permitted processing aids that may be used for all foods. Both carrageenan (food additive number 407) and pectins (</w:t>
      </w:r>
      <w:r w:rsidR="006D71D7">
        <w:t xml:space="preserve">food additive number </w:t>
      </w:r>
      <w:r w:rsidRPr="00920D1A">
        <w:t xml:space="preserve">440) are listed in the tables in section S16—2, and so are </w:t>
      </w:r>
      <w:r w:rsidR="00FC5992">
        <w:t xml:space="preserve">already </w:t>
      </w:r>
      <w:r w:rsidRPr="00920D1A">
        <w:t>permitted processing aids in food (including wine) sold in Australia or New Zealand.</w:t>
      </w:r>
    </w:p>
    <w:p w14:paraId="28F0C28D" w14:textId="77777777" w:rsidR="00920D1A" w:rsidRPr="00920D1A" w:rsidRDefault="00920D1A" w:rsidP="00920D1A"/>
    <w:p w14:paraId="09036B10" w14:textId="247D6392" w:rsidR="00030F65" w:rsidRDefault="00030F65" w:rsidP="00920D1A">
      <w:r w:rsidRPr="00030F65">
        <w:t>However, wine produced in Australia must also comply with the requirements of Standard 4.5.1, which sets out requirements particular to Australian domestic wine production and operates as a limitation of the general permissions in Part 1.3 of the Code. Only the processing aids listed in the Table to clause 4 in Standard 4.5.1 can be used in wine production in Australia. Pectins and carrageenan are not currently listed in this Table and the proposed variation removes a restriction imposed by Standard 4.5.1.</w:t>
      </w:r>
    </w:p>
    <w:p w14:paraId="0E1D15F9" w14:textId="7891CC7E" w:rsidR="007A53BF" w:rsidRPr="00FC4A1D" w:rsidRDefault="007A53BF" w:rsidP="00CE59AA">
      <w:pPr>
        <w:pStyle w:val="Heading2"/>
        <w:rPr>
          <w:u w:color="FFFF00"/>
        </w:rPr>
      </w:pPr>
      <w:bookmarkStart w:id="24" w:name="_Toc286391007"/>
      <w:bookmarkStart w:id="25" w:name="_Toc300933423"/>
      <w:bookmarkStart w:id="26" w:name="_Toc370223468"/>
      <w:bookmarkStart w:id="27" w:name="_Toc481153326"/>
      <w:bookmarkStart w:id="28" w:name="_Toc175381432"/>
      <w:r w:rsidRPr="007A53BF">
        <w:rPr>
          <w:u w:color="FFFF00"/>
        </w:rPr>
        <w:t>1.4</w:t>
      </w:r>
      <w:r w:rsidRPr="007A53BF">
        <w:rPr>
          <w:u w:color="FFFF00"/>
        </w:rPr>
        <w:tab/>
      </w:r>
      <w:r w:rsidRPr="00FC4A1D">
        <w:rPr>
          <w:u w:color="FFFF00"/>
        </w:rPr>
        <w:t>Reasons for accepting Application</w:t>
      </w:r>
      <w:bookmarkEnd w:id="24"/>
      <w:bookmarkEnd w:id="25"/>
      <w:bookmarkEnd w:id="26"/>
      <w:bookmarkEnd w:id="27"/>
    </w:p>
    <w:bookmarkEnd w:id="28"/>
    <w:p w14:paraId="0CE09BB8" w14:textId="77777777" w:rsidR="007A53BF" w:rsidRPr="00FC4A1D" w:rsidRDefault="007A53BF" w:rsidP="007A53BF">
      <w:r w:rsidRPr="00FC4A1D">
        <w:t>The Application was accepted for assessment because:</w:t>
      </w:r>
    </w:p>
    <w:p w14:paraId="1FC2A668" w14:textId="77777777" w:rsidR="007A53BF" w:rsidRPr="00FC4A1D" w:rsidRDefault="007A53BF" w:rsidP="007A53BF"/>
    <w:p w14:paraId="09769EFA" w14:textId="7134348C" w:rsidR="007A53BF" w:rsidRPr="00FC4A1D" w:rsidRDefault="007A53BF" w:rsidP="007A53BF">
      <w:pPr>
        <w:pStyle w:val="FSBullet1"/>
      </w:pPr>
      <w:r w:rsidRPr="00FC4A1D">
        <w:t>it complied with the procedural requirements under subsection 22(2)</w:t>
      </w:r>
      <w:r w:rsidR="00FC4A1D" w:rsidRPr="00FC4A1D">
        <w:t>, and</w:t>
      </w:r>
    </w:p>
    <w:p w14:paraId="26BDA354" w14:textId="74C777A7" w:rsidR="007A53BF" w:rsidRPr="00FC4A1D" w:rsidRDefault="007A53BF" w:rsidP="007A53BF">
      <w:pPr>
        <w:pStyle w:val="FSBullet1"/>
      </w:pPr>
      <w:r w:rsidRPr="00FC4A1D">
        <w:t>it related to a matter that warranted the variation of a food regulatory measure</w:t>
      </w:r>
      <w:r w:rsidR="000B2AF2">
        <w:t>.</w:t>
      </w:r>
    </w:p>
    <w:p w14:paraId="25F0BDAD" w14:textId="77777777" w:rsidR="007A53BF" w:rsidRPr="0083723A" w:rsidRDefault="007A53BF" w:rsidP="00CE59AA">
      <w:pPr>
        <w:pStyle w:val="Heading2"/>
      </w:pPr>
      <w:bookmarkStart w:id="29" w:name="_Toc370223469"/>
      <w:bookmarkStart w:id="30" w:name="_Toc481153327"/>
      <w:r w:rsidRPr="0083723A">
        <w:t>1.5</w:t>
      </w:r>
      <w:r w:rsidRPr="0083723A">
        <w:tab/>
        <w:t>Procedure for assessment</w:t>
      </w:r>
      <w:bookmarkEnd w:id="29"/>
      <w:bookmarkEnd w:id="30"/>
    </w:p>
    <w:p w14:paraId="1FA966C6" w14:textId="061EC947" w:rsidR="00AF397D" w:rsidRDefault="00AF397D" w:rsidP="00AF397D">
      <w:r w:rsidRPr="0083723A">
        <w:t xml:space="preserve">The Application was assessed under the General </w:t>
      </w:r>
      <w:r>
        <w:t>P</w:t>
      </w:r>
      <w:r w:rsidRPr="00932F14">
        <w:t>rocedure.</w:t>
      </w:r>
    </w:p>
    <w:p w14:paraId="40D87400" w14:textId="77777777" w:rsidR="00422EC9" w:rsidRDefault="007A53BF" w:rsidP="00422EC9">
      <w:pPr>
        <w:pStyle w:val="Heading2"/>
      </w:pPr>
      <w:bookmarkStart w:id="31" w:name="_Toc481153328"/>
      <w:r>
        <w:t>1</w:t>
      </w:r>
      <w:r w:rsidR="00422EC9">
        <w:t>.6</w:t>
      </w:r>
      <w:r w:rsidR="00422EC9">
        <w:tab/>
      </w:r>
      <w:r w:rsidR="00422EC9" w:rsidRPr="00932F14">
        <w:t>Decision</w:t>
      </w:r>
      <w:bookmarkEnd w:id="31"/>
    </w:p>
    <w:p w14:paraId="4AE6F512" w14:textId="053A7BA9" w:rsidR="00401ADE" w:rsidRPr="001F1BE1" w:rsidRDefault="00422EC9" w:rsidP="002C1A3B">
      <w:r w:rsidRPr="001D181A">
        <w:t xml:space="preserve">The draft </w:t>
      </w:r>
      <w:r w:rsidR="00E30092" w:rsidRPr="001D181A">
        <w:t>variation</w:t>
      </w:r>
      <w:r w:rsidRPr="001D181A">
        <w:t xml:space="preserve"> as proposed following </w:t>
      </w:r>
      <w:r w:rsidRPr="001F1BE1">
        <w:t>assessment was approved without change.</w:t>
      </w:r>
      <w:r w:rsidR="002C1A3B" w:rsidRPr="001F1BE1">
        <w:t xml:space="preserve"> The variation takes effect on </w:t>
      </w:r>
      <w:r w:rsidR="001D181A" w:rsidRPr="001F1BE1">
        <w:t xml:space="preserve">the date of gazettal. </w:t>
      </w:r>
      <w:r w:rsidRPr="001F1BE1">
        <w:t xml:space="preserve">The </w:t>
      </w:r>
      <w:r w:rsidR="002C1A3B" w:rsidRPr="001F1BE1">
        <w:t xml:space="preserve">approved </w:t>
      </w:r>
      <w:r w:rsidRPr="001F1BE1">
        <w:t xml:space="preserve">draft </w:t>
      </w:r>
      <w:r w:rsidR="00E30092" w:rsidRPr="001F1BE1">
        <w:t>variation</w:t>
      </w:r>
      <w:r w:rsidRPr="001F1BE1">
        <w:t xml:space="preserve"> </w:t>
      </w:r>
      <w:r w:rsidR="005E06C0" w:rsidRPr="001F1BE1">
        <w:t xml:space="preserve">is </w:t>
      </w:r>
      <w:r w:rsidRPr="001F1BE1">
        <w:t xml:space="preserve">at Attachment A. </w:t>
      </w:r>
    </w:p>
    <w:p w14:paraId="1954A1E9" w14:textId="77777777" w:rsidR="00401ADE" w:rsidRPr="001F1BE1" w:rsidRDefault="00401ADE" w:rsidP="00401ADE"/>
    <w:p w14:paraId="7DE89E0D" w14:textId="7C8FE238" w:rsidR="00012C28" w:rsidRDefault="005E06C0" w:rsidP="00AF397D">
      <w:r w:rsidRPr="001F1BE1">
        <w:t xml:space="preserve">The </w:t>
      </w:r>
      <w:r w:rsidR="00401ADE" w:rsidRPr="001F1BE1">
        <w:t xml:space="preserve">related explanatory statement </w:t>
      </w:r>
      <w:r w:rsidRPr="001F1BE1">
        <w:t xml:space="preserve">is at Attachment B. </w:t>
      </w:r>
      <w:r w:rsidR="002C1A3B" w:rsidRPr="001F1BE1">
        <w:t>An explanatory statement is required to accompany an instrument if it is lodged on the Federal Register of Legislati</w:t>
      </w:r>
      <w:r w:rsidR="00917C6F" w:rsidRPr="001F1BE1">
        <w:t>on</w:t>
      </w:r>
      <w:r w:rsidR="002C1A3B" w:rsidRPr="001F1BE1">
        <w:t xml:space="preserve">. </w:t>
      </w:r>
      <w:r w:rsidR="00012C28">
        <w:br w:type="page"/>
      </w:r>
    </w:p>
    <w:p w14:paraId="600444FE" w14:textId="77777777" w:rsidR="0012388D" w:rsidRDefault="007A53BF" w:rsidP="00755F02">
      <w:pPr>
        <w:pStyle w:val="Heading1"/>
      </w:pPr>
      <w:bookmarkStart w:id="32" w:name="_Toc481153329"/>
      <w:bookmarkStart w:id="33" w:name="_Toc11735630"/>
      <w:bookmarkStart w:id="34" w:name="_Toc29883114"/>
      <w:bookmarkStart w:id="35" w:name="_Toc41906801"/>
      <w:bookmarkStart w:id="36" w:name="_Toc41907548"/>
      <w:bookmarkStart w:id="37" w:name="_Toc120358578"/>
      <w:bookmarkStart w:id="38" w:name="_Toc175381435"/>
      <w:bookmarkEnd w:id="4"/>
      <w:bookmarkEnd w:id="5"/>
      <w:bookmarkEnd w:id="6"/>
      <w:bookmarkEnd w:id="7"/>
      <w:bookmarkEnd w:id="8"/>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2"/>
    </w:p>
    <w:p w14:paraId="1ED7B03F" w14:textId="29C1615C" w:rsidR="007A53BF" w:rsidRDefault="007A53BF" w:rsidP="007A53BF">
      <w:pPr>
        <w:pStyle w:val="Heading2"/>
      </w:pPr>
      <w:bookmarkStart w:id="39" w:name="_Toc300933438"/>
      <w:bookmarkStart w:id="40" w:name="_Toc370223471"/>
      <w:bookmarkStart w:id="41" w:name="_Toc370225386"/>
      <w:bookmarkStart w:id="42" w:name="_Toc481153330"/>
      <w:bookmarkStart w:id="43" w:name="_Toc286391009"/>
      <w:bookmarkStart w:id="44" w:name="_Toc300933425"/>
      <w:bookmarkStart w:id="45" w:name="_Toc309291838"/>
      <w:bookmarkStart w:id="46" w:name="_Toc309385455"/>
      <w:bookmarkStart w:id="47" w:name="_Toc120358583"/>
      <w:bookmarkStart w:id="48" w:name="_Toc175381440"/>
      <w:r w:rsidRPr="002C1A3B">
        <w:t>2.1</w:t>
      </w:r>
      <w:r w:rsidRPr="002C1A3B">
        <w:tab/>
        <w:t xml:space="preserve">Summary of issues raised </w:t>
      </w:r>
      <w:bookmarkEnd w:id="39"/>
      <w:r w:rsidRPr="002C1A3B">
        <w:t>in submissions</w:t>
      </w:r>
      <w:bookmarkEnd w:id="40"/>
      <w:bookmarkEnd w:id="41"/>
      <w:bookmarkEnd w:id="42"/>
    </w:p>
    <w:p w14:paraId="7AC0D073" w14:textId="362F9B20" w:rsidR="001F1BE1" w:rsidRDefault="001F1BE1" w:rsidP="001F1BE1">
      <w:pPr>
        <w:rPr>
          <w:lang w:bidi="ar-SA"/>
        </w:rPr>
      </w:pPr>
      <w:r>
        <w:rPr>
          <w:lang w:bidi="ar-SA"/>
        </w:rPr>
        <w:t>Two submissions were received.</w:t>
      </w:r>
    </w:p>
    <w:p w14:paraId="5B5EF36A" w14:textId="4F8C53C4" w:rsidR="001F1BE1" w:rsidRDefault="001F1BE1" w:rsidP="001F1BE1">
      <w:pPr>
        <w:rPr>
          <w:lang w:bidi="ar-SA"/>
        </w:rPr>
      </w:pPr>
    </w:p>
    <w:p w14:paraId="6E298BA1" w14:textId="2412014C" w:rsidR="001F1BE1" w:rsidRDefault="001F1BE1" w:rsidP="001F1BE1">
      <w:pPr>
        <w:rPr>
          <w:lang w:bidi="ar-SA"/>
        </w:rPr>
      </w:pPr>
      <w:r>
        <w:rPr>
          <w:lang w:bidi="ar-SA"/>
        </w:rPr>
        <w:t>One, from a government</w:t>
      </w:r>
      <w:r w:rsidR="000B2AF2">
        <w:rPr>
          <w:lang w:bidi="ar-SA"/>
        </w:rPr>
        <w:t xml:space="preserve"> department</w:t>
      </w:r>
      <w:r>
        <w:rPr>
          <w:lang w:bidi="ar-SA"/>
        </w:rPr>
        <w:t>, supported the draft variation and raised no issues.</w:t>
      </w:r>
      <w:r w:rsidR="00012C28">
        <w:rPr>
          <w:lang w:bidi="ar-SA"/>
        </w:rPr>
        <w:t xml:space="preserve"> </w:t>
      </w:r>
      <w:r>
        <w:rPr>
          <w:lang w:bidi="ar-SA"/>
        </w:rPr>
        <w:t>The other, from the Food Intolerance Network, raised two issues</w:t>
      </w:r>
      <w:r w:rsidR="00E16C08">
        <w:rPr>
          <w:lang w:bidi="ar-SA"/>
        </w:rPr>
        <w:t>.</w:t>
      </w:r>
    </w:p>
    <w:p w14:paraId="7C03DAF2" w14:textId="77777777" w:rsidR="00E16C08" w:rsidRPr="001F1BE1" w:rsidRDefault="00E16C08" w:rsidP="001F1BE1">
      <w:pPr>
        <w:rPr>
          <w:lang w:bidi="ar-SA"/>
        </w:rPr>
      </w:pPr>
    </w:p>
    <w:p w14:paraId="539130E9" w14:textId="77777777" w:rsidR="007A53BF" w:rsidRDefault="007A53BF" w:rsidP="007A53BF">
      <w:pPr>
        <w:pStyle w:val="FSTableTitle"/>
      </w:pPr>
      <w:r>
        <w:t xml:space="preserve">Table 1: Summary of issues </w:t>
      </w:r>
    </w:p>
    <w:p w14:paraId="040E3430"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230"/>
      </w:tblGrid>
      <w:tr w:rsidR="001F1BE1" w14:paraId="7A07AE74" w14:textId="77777777" w:rsidTr="00012C2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left w:val="single" w:sz="4" w:space="0" w:color="auto"/>
              <w:bottom w:val="single" w:sz="4" w:space="0" w:color="auto"/>
              <w:right w:val="single" w:sz="4" w:space="0" w:color="auto"/>
            </w:tcBorders>
          </w:tcPr>
          <w:p w14:paraId="2FF4CB3D" w14:textId="77777777" w:rsidR="001F1BE1" w:rsidRPr="008C4E76" w:rsidRDefault="001F1BE1" w:rsidP="008C4E76">
            <w:pPr>
              <w:pStyle w:val="FSTableHeading"/>
              <w:rPr>
                <w:b/>
              </w:rPr>
            </w:pPr>
            <w:r w:rsidRPr="008C4E76">
              <w:rPr>
                <w:b/>
              </w:rPr>
              <w:t>Issue</w:t>
            </w:r>
          </w:p>
        </w:tc>
        <w:tc>
          <w:tcPr>
            <w:tcW w:w="4230" w:type="dxa"/>
            <w:tcBorders>
              <w:top w:val="single" w:sz="4" w:space="0" w:color="auto"/>
              <w:left w:val="single" w:sz="4" w:space="0" w:color="auto"/>
              <w:bottom w:val="single" w:sz="4" w:space="0" w:color="auto"/>
              <w:right w:val="single" w:sz="4" w:space="0" w:color="auto"/>
            </w:tcBorders>
          </w:tcPr>
          <w:p w14:paraId="0877E137" w14:textId="55059F0B" w:rsidR="001F1BE1" w:rsidRPr="008C4E76" w:rsidRDefault="001F1BE1" w:rsidP="001F1BE1">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p>
        </w:tc>
      </w:tr>
      <w:tr w:rsidR="0014414B" w:rsidRPr="0014414B" w14:paraId="3577A300" w14:textId="77777777" w:rsidTr="00012C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8" w:type="dxa"/>
            <w:tcBorders>
              <w:right w:val="single" w:sz="4" w:space="0" w:color="auto"/>
            </w:tcBorders>
          </w:tcPr>
          <w:p w14:paraId="19AFB0A3" w14:textId="5F0D0015" w:rsidR="00412F5B" w:rsidRPr="0014414B" w:rsidRDefault="00436CF2" w:rsidP="00A24742">
            <w:pPr>
              <w:pStyle w:val="FSTableText"/>
              <w:ind w:left="113" w:hanging="113"/>
              <w:rPr>
                <w:color w:val="000000" w:themeColor="text1"/>
                <w:lang w:val="en-AU"/>
              </w:rPr>
            </w:pPr>
            <w:r w:rsidRPr="0014414B">
              <w:rPr>
                <w:color w:val="000000" w:themeColor="text1"/>
                <w:lang w:val="en-AU"/>
              </w:rPr>
              <w:t>Opposed to p</w:t>
            </w:r>
            <w:r w:rsidR="00412F5B" w:rsidRPr="0014414B">
              <w:rPr>
                <w:color w:val="000000" w:themeColor="text1"/>
                <w:lang w:val="en-AU"/>
              </w:rPr>
              <w:t xml:space="preserve">ermitted </w:t>
            </w:r>
            <w:r w:rsidR="00412F5B" w:rsidRPr="0014414B">
              <w:rPr>
                <w:color w:val="000000" w:themeColor="text1"/>
              </w:rPr>
              <w:t>food additives being reclassified as processing aids, thereby denying consumers label information and choice, because, in general, processing aids are exempt from declaration in the statement of ingredients.</w:t>
            </w:r>
          </w:p>
          <w:p w14:paraId="13BC902E" w14:textId="30A734A3" w:rsidR="00412F5B" w:rsidRPr="0014414B" w:rsidRDefault="00412F5B" w:rsidP="00A24742">
            <w:pPr>
              <w:pStyle w:val="FSTableText"/>
              <w:ind w:left="113" w:hanging="113"/>
              <w:rPr>
                <w:color w:val="000000" w:themeColor="text1"/>
              </w:rPr>
            </w:pPr>
          </w:p>
        </w:tc>
        <w:tc>
          <w:tcPr>
            <w:tcW w:w="4230" w:type="dxa"/>
            <w:tcBorders>
              <w:left w:val="single" w:sz="4" w:space="0" w:color="auto"/>
            </w:tcBorders>
          </w:tcPr>
          <w:p w14:paraId="7FBE1C1C" w14:textId="77777777" w:rsidR="009D0C13" w:rsidRDefault="00436CF2" w:rsidP="0014414B">
            <w:pPr>
              <w:pStyle w:val="FSTableText"/>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14414B">
              <w:rPr>
                <w:color w:val="000000" w:themeColor="text1"/>
              </w:rPr>
              <w:t xml:space="preserve">This variation is not a reclassification as pectins and carrageenan are already permitted as processing aids in wines. This variation to the Australian </w:t>
            </w:r>
            <w:r w:rsidR="00867078" w:rsidRPr="0014414B">
              <w:rPr>
                <w:color w:val="000000" w:themeColor="text1"/>
              </w:rPr>
              <w:t xml:space="preserve">wine </w:t>
            </w:r>
            <w:r w:rsidRPr="0014414B">
              <w:rPr>
                <w:color w:val="000000" w:themeColor="text1"/>
              </w:rPr>
              <w:t xml:space="preserve">production standard </w:t>
            </w:r>
            <w:r w:rsidR="00867078" w:rsidRPr="0014414B">
              <w:rPr>
                <w:color w:val="000000" w:themeColor="text1"/>
              </w:rPr>
              <w:t>also</w:t>
            </w:r>
            <w:r w:rsidRPr="0014414B">
              <w:rPr>
                <w:color w:val="000000" w:themeColor="text1"/>
              </w:rPr>
              <w:t xml:space="preserve"> allows Australian made wines to use these processing aids during wine manufacture.</w:t>
            </w:r>
            <w:r w:rsidR="0014414B" w:rsidRPr="0014414B">
              <w:rPr>
                <w:color w:val="000000" w:themeColor="text1"/>
              </w:rPr>
              <w:t xml:space="preserve"> </w:t>
            </w:r>
          </w:p>
          <w:p w14:paraId="7F13CBA0" w14:textId="585CEB5C" w:rsidR="00012C28" w:rsidRPr="0014414B" w:rsidRDefault="00012C28" w:rsidP="0014414B">
            <w:pPr>
              <w:pStyle w:val="FSTableText"/>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tc>
      </w:tr>
      <w:tr w:rsidR="0014414B" w:rsidRPr="0014414B" w14:paraId="73350484" w14:textId="77777777" w:rsidTr="00012C2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18" w:type="dxa"/>
            <w:tcBorders>
              <w:right w:val="single" w:sz="4" w:space="0" w:color="auto"/>
            </w:tcBorders>
          </w:tcPr>
          <w:p w14:paraId="49B503CD" w14:textId="1414A9E1" w:rsidR="001F1BE1" w:rsidRPr="0014414B" w:rsidRDefault="00436CF2" w:rsidP="0014414B">
            <w:pPr>
              <w:pStyle w:val="FSTableText"/>
              <w:ind w:left="113" w:hanging="113"/>
              <w:rPr>
                <w:color w:val="000000" w:themeColor="text1"/>
              </w:rPr>
            </w:pPr>
            <w:r w:rsidRPr="0014414B">
              <w:rPr>
                <w:color w:val="000000" w:themeColor="text1"/>
              </w:rPr>
              <w:t>Some enzymes are not safe</w:t>
            </w:r>
          </w:p>
        </w:tc>
        <w:tc>
          <w:tcPr>
            <w:tcW w:w="4230" w:type="dxa"/>
            <w:tcBorders>
              <w:left w:val="single" w:sz="4" w:space="0" w:color="auto"/>
            </w:tcBorders>
          </w:tcPr>
          <w:p w14:paraId="254D3241" w14:textId="77777777" w:rsidR="001F1BE1" w:rsidRPr="0014414B" w:rsidRDefault="001F1BE1" w:rsidP="0014414B">
            <w:pPr>
              <w:pStyle w:val="FSTableText"/>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r w:rsidRPr="0014414B">
              <w:rPr>
                <w:color w:val="000000" w:themeColor="text1"/>
              </w:rPr>
              <w:t>This Application does not relate to enzymes</w:t>
            </w:r>
          </w:p>
          <w:p w14:paraId="31FA87B5" w14:textId="4B878FB6" w:rsidR="009D0C13" w:rsidRPr="0014414B" w:rsidRDefault="009D0C13" w:rsidP="0014414B">
            <w:pPr>
              <w:pStyle w:val="FSTableText"/>
              <w:ind w:left="113" w:hanging="113"/>
              <w:cnfStyle w:val="000000010000" w:firstRow="0" w:lastRow="0" w:firstColumn="0" w:lastColumn="0" w:oddVBand="0" w:evenVBand="0" w:oddHBand="0" w:evenHBand="1" w:firstRowFirstColumn="0" w:firstRowLastColumn="0" w:lastRowFirstColumn="0" w:lastRowLastColumn="0"/>
              <w:rPr>
                <w:color w:val="000000" w:themeColor="text1"/>
              </w:rPr>
            </w:pPr>
          </w:p>
        </w:tc>
      </w:tr>
    </w:tbl>
    <w:p w14:paraId="4B0B0BDC" w14:textId="77777777" w:rsidR="002C1A3B" w:rsidRPr="0014414B" w:rsidRDefault="002C1A3B" w:rsidP="002C1A3B">
      <w:pPr>
        <w:pStyle w:val="Heading2"/>
        <w:rPr>
          <w:color w:val="000000" w:themeColor="text1"/>
        </w:rPr>
      </w:pPr>
      <w:bookmarkStart w:id="49" w:name="_Toc370223472"/>
      <w:bookmarkStart w:id="50" w:name="_Toc370225387"/>
      <w:bookmarkStart w:id="51" w:name="_Toc481153331"/>
      <w:bookmarkStart w:id="52" w:name="_Toc309291812"/>
      <w:bookmarkStart w:id="53" w:name="_Toc175381442"/>
      <w:bookmarkEnd w:id="43"/>
      <w:bookmarkEnd w:id="44"/>
      <w:bookmarkEnd w:id="45"/>
      <w:bookmarkEnd w:id="46"/>
      <w:bookmarkEnd w:id="47"/>
      <w:bookmarkEnd w:id="48"/>
      <w:r w:rsidRPr="0014414B">
        <w:rPr>
          <w:color w:val="000000" w:themeColor="text1"/>
        </w:rPr>
        <w:t>2.2</w:t>
      </w:r>
      <w:r w:rsidRPr="0014414B">
        <w:rPr>
          <w:color w:val="000000" w:themeColor="text1"/>
        </w:rPr>
        <w:tab/>
        <w:t>Risk assessment</w:t>
      </w:r>
      <w:bookmarkEnd w:id="49"/>
      <w:bookmarkEnd w:id="50"/>
      <w:bookmarkEnd w:id="51"/>
      <w:r w:rsidRPr="0014414B">
        <w:rPr>
          <w:color w:val="000000" w:themeColor="text1"/>
        </w:rPr>
        <w:t xml:space="preserve"> </w:t>
      </w:r>
    </w:p>
    <w:p w14:paraId="7DB8D746" w14:textId="36B9955C" w:rsidR="00330B88" w:rsidRPr="00330B88" w:rsidRDefault="00330B88" w:rsidP="00330B88">
      <w:r w:rsidRPr="00330B88">
        <w:t>FSANZ assessed the evidence on the safety of pectins and carrageenan as processing aids in wine. The data provided with the Application, together with information from other sources, are considered adequate for hazard assessment.</w:t>
      </w:r>
    </w:p>
    <w:p w14:paraId="37279124" w14:textId="77777777" w:rsidR="00330B88" w:rsidRPr="00330B88" w:rsidRDefault="00330B88" w:rsidP="00330B88"/>
    <w:p w14:paraId="03F7DD89" w14:textId="77777777" w:rsidR="00330B88" w:rsidRPr="00330B88" w:rsidRDefault="00330B88" w:rsidP="00330B88">
      <w:r w:rsidRPr="00330B88">
        <w:t xml:space="preserve">Both pectins and carrageenan have a long history of safe use in the human food supply and are approved as food additives at GMP in Schedule 16 – Types of substances that may be used as food additives. </w:t>
      </w:r>
    </w:p>
    <w:p w14:paraId="56FA80DF" w14:textId="77777777" w:rsidR="00330B88" w:rsidRPr="00330B88" w:rsidRDefault="00330B88" w:rsidP="00330B88"/>
    <w:p w14:paraId="632EDC60" w14:textId="77777777" w:rsidR="00330B88" w:rsidRPr="00330B88" w:rsidRDefault="00330B88" w:rsidP="00330B88">
      <w:r w:rsidRPr="00330B88">
        <w:t>The evidence presented to support the proposed use provides adequate assurance that pectins and carrageenan are technologically effective as fining agents in wine manufacture and provide alternatives to the use of bentonite for this purpose. The residual levels in wine are very low and do not perform any technological purpose in the final product. There are identity and purity specifications for pectins and carrageenan in the primary reference sources listed in Schedule 3 – Identity and purity.</w:t>
      </w:r>
    </w:p>
    <w:p w14:paraId="17C94843" w14:textId="77777777" w:rsidR="00330B88" w:rsidRPr="00330B88" w:rsidRDefault="00330B88" w:rsidP="00330B88"/>
    <w:p w14:paraId="1FE5EFB5" w14:textId="77777777" w:rsidR="00330B88" w:rsidRPr="00330B88" w:rsidRDefault="00330B88" w:rsidP="00330B88">
      <w:r w:rsidRPr="00330B88">
        <w:t>Pectins are resistant to digestion in the small intestine but are broken down by large intestinal flora. No adverse effects from their metabolites have been identified. Carrageenan is not broken down in the gastrointestinal tract.</w:t>
      </w:r>
    </w:p>
    <w:p w14:paraId="5329C387" w14:textId="77777777" w:rsidR="00330B88" w:rsidRPr="00330B88" w:rsidRDefault="00330B88" w:rsidP="00330B88"/>
    <w:p w14:paraId="043EE48B" w14:textId="18688D4E" w:rsidR="00330B88" w:rsidRPr="00330B88" w:rsidRDefault="000B2AF2" w:rsidP="00330B88">
      <w:r>
        <w:t>P</w:t>
      </w:r>
      <w:r w:rsidR="00330B88" w:rsidRPr="00330B88">
        <w:t xml:space="preserve">ectins </w:t>
      </w:r>
      <w:r>
        <w:t xml:space="preserve">and </w:t>
      </w:r>
      <w:r w:rsidR="00330B88" w:rsidRPr="00330B88">
        <w:t xml:space="preserve">carrageenan are </w:t>
      </w:r>
      <w:r>
        <w:t xml:space="preserve">not </w:t>
      </w:r>
      <w:r w:rsidR="00330B88" w:rsidRPr="00330B88">
        <w:t xml:space="preserve">genotoxic. </w:t>
      </w:r>
    </w:p>
    <w:p w14:paraId="7BD25B72" w14:textId="77777777" w:rsidR="00330B88" w:rsidRPr="00330B88" w:rsidRDefault="00330B88" w:rsidP="00330B88"/>
    <w:p w14:paraId="500B1209" w14:textId="77777777" w:rsidR="00330B88" w:rsidRPr="00330B88" w:rsidRDefault="00330B88" w:rsidP="00330B88">
      <w:r w:rsidRPr="00330B88">
        <w:t>A review of recent animal and human studies by JECFA in 2015 did not identify any adverse effects of either pectins or carrageenan.</w:t>
      </w:r>
    </w:p>
    <w:p w14:paraId="53BFB338" w14:textId="77777777" w:rsidR="00330B88" w:rsidRPr="00330B88" w:rsidRDefault="00330B88" w:rsidP="00330B88"/>
    <w:p w14:paraId="7C4B3DE9" w14:textId="77777777" w:rsidR="00330B88" w:rsidRPr="00330B88" w:rsidRDefault="00330B88" w:rsidP="00330B88">
      <w:r w:rsidRPr="00330B88">
        <w:t xml:space="preserve">Allergic reactions to ingested pectins appear to be extremely rare and may represent cross-reaction with allergens of cashew nuts and/or pistachio nuts. There is no robust evidence of allergic reactions to ingested carrageenan.  </w:t>
      </w:r>
    </w:p>
    <w:p w14:paraId="6D931A4A" w14:textId="77777777" w:rsidR="00330B88" w:rsidRPr="00330B88" w:rsidRDefault="00330B88" w:rsidP="00330B88"/>
    <w:p w14:paraId="54C91A8B" w14:textId="77777777" w:rsidR="00012C28" w:rsidRDefault="00012C28" w:rsidP="00330B88">
      <w:r>
        <w:br w:type="page"/>
      </w:r>
    </w:p>
    <w:p w14:paraId="3F647275" w14:textId="1B3ED6F4" w:rsidR="00330B88" w:rsidRPr="00330B88" w:rsidRDefault="00330B88" w:rsidP="00330B88">
      <w:r w:rsidRPr="00330B88">
        <w:lastRenderedPageBreak/>
        <w:t>Based on the reviewed toxicological data, it is concluded that in the absence of any identifiable hazard, an Acceptable Daily Intake (ADI) ‘not specified’ remains appropriate for both pectins and carrageenan.</w:t>
      </w:r>
    </w:p>
    <w:p w14:paraId="0B87C9CD" w14:textId="77777777" w:rsidR="00330B88" w:rsidRPr="00330B88" w:rsidRDefault="00330B88" w:rsidP="00330B88"/>
    <w:p w14:paraId="01D2C261" w14:textId="0E932A1E" w:rsidR="002C1A3B" w:rsidRPr="00330B88" w:rsidRDefault="00330B88" w:rsidP="002C1A3B">
      <w:r w:rsidRPr="00330B88">
        <w:t xml:space="preserve">In conclusion, pectins and carrageenan achieve the technological function in the quantity and form proposed to be used as a food processing aid, and there are no potential public health and safety concerns from </w:t>
      </w:r>
      <w:r w:rsidR="000B2AF2">
        <w:t>using</w:t>
      </w:r>
      <w:r w:rsidRPr="00330B88">
        <w:t xml:space="preserve"> pectins and carrageenan as processing aids in the manufacture of wine in Australia.</w:t>
      </w:r>
    </w:p>
    <w:p w14:paraId="0D77B358" w14:textId="77777777" w:rsidR="002C1A3B" w:rsidRPr="00932F14" w:rsidRDefault="002C1A3B" w:rsidP="002C1A3B">
      <w:pPr>
        <w:pStyle w:val="Heading2"/>
      </w:pPr>
      <w:bookmarkStart w:id="54" w:name="_Toc370223473"/>
      <w:bookmarkStart w:id="55" w:name="_Toc370225388"/>
      <w:bookmarkStart w:id="56" w:name="_Toc481153332"/>
      <w:bookmarkStart w:id="57" w:name="_Toc175381450"/>
      <w:bookmarkEnd w:id="52"/>
      <w:bookmarkEnd w:id="53"/>
      <w:r>
        <w:t>2.3</w:t>
      </w:r>
      <w:r>
        <w:tab/>
        <w:t>Risk management</w:t>
      </w:r>
      <w:bookmarkEnd w:id="54"/>
      <w:bookmarkEnd w:id="55"/>
      <w:bookmarkEnd w:id="56"/>
    </w:p>
    <w:p w14:paraId="2974BD0F" w14:textId="53A38FA3" w:rsidR="00975E32" w:rsidRPr="006A200D" w:rsidRDefault="00975E32" w:rsidP="00012C28">
      <w:pPr>
        <w:ind w:right="-286"/>
      </w:pPr>
      <w:r w:rsidRPr="00975E32">
        <w:t xml:space="preserve">Evidence provided demonstrates that there are no </w:t>
      </w:r>
      <w:r w:rsidR="00227F4C">
        <w:t xml:space="preserve">public health and </w:t>
      </w:r>
      <w:r w:rsidRPr="00975E32">
        <w:t xml:space="preserve">safety risks from the additional use of pectins and carrageenan as intended, that the use </w:t>
      </w:r>
      <w:r w:rsidRPr="006A200D">
        <w:t>of pectins and carrageenan are technologically justified, and their use meets the definition of a processing aid.</w:t>
      </w:r>
    </w:p>
    <w:p w14:paraId="7E85A776" w14:textId="77777777" w:rsidR="00975E32" w:rsidRPr="006A200D" w:rsidRDefault="00975E32" w:rsidP="00975E32"/>
    <w:p w14:paraId="687650DA" w14:textId="10055CAC" w:rsidR="00975E32" w:rsidRPr="00975E32" w:rsidRDefault="00975E32" w:rsidP="00975E32">
      <w:r w:rsidRPr="006A200D">
        <w:t xml:space="preserve">As processing aids require permissions in the Code, the risk </w:t>
      </w:r>
      <w:r w:rsidRPr="00975E32">
        <w:t xml:space="preserve">management options available to FSANZ are either to </w:t>
      </w:r>
      <w:r w:rsidR="009D0C13">
        <w:t>approve the</w:t>
      </w:r>
      <w:r w:rsidRPr="00975E32">
        <w:t xml:space="preserve"> draft variation or reject the </w:t>
      </w:r>
      <w:r w:rsidR="009D0C13">
        <w:t>draft variation</w:t>
      </w:r>
      <w:r w:rsidRPr="00975E32">
        <w:t>. These options are considered in section 2.</w:t>
      </w:r>
      <w:r w:rsidR="006A200D">
        <w:t>5</w:t>
      </w:r>
      <w:r w:rsidRPr="00975E32">
        <w:t xml:space="preserve">.1.1 and take account of the safety of pectins and carrageenan. </w:t>
      </w:r>
    </w:p>
    <w:p w14:paraId="1E08A61F" w14:textId="77777777" w:rsidR="00975E32" w:rsidRPr="00975E32" w:rsidRDefault="00975E32" w:rsidP="00975E32"/>
    <w:p w14:paraId="4CD9AE74" w14:textId="77777777" w:rsidR="00975E32" w:rsidRPr="00975E32" w:rsidRDefault="00975E32" w:rsidP="00975E32">
      <w:r w:rsidRPr="00975E32">
        <w:t>Other risk management issues are discussed below.</w:t>
      </w:r>
    </w:p>
    <w:p w14:paraId="56068503" w14:textId="77A7DDBC" w:rsidR="00975E32" w:rsidRPr="00975E32" w:rsidRDefault="00975E32" w:rsidP="00975E32">
      <w:pPr>
        <w:pStyle w:val="Heading3"/>
      </w:pPr>
      <w:bookmarkStart w:id="58" w:name="_Toc408583004"/>
      <w:bookmarkStart w:id="59" w:name="_Toc427676501"/>
      <w:bookmarkStart w:id="60" w:name="_Toc454787477"/>
      <w:bookmarkStart w:id="61" w:name="_Toc473883724"/>
      <w:bookmarkStart w:id="62" w:name="_Toc481153333"/>
      <w:r>
        <w:t>2.3</w:t>
      </w:r>
      <w:r w:rsidRPr="00975E32">
        <w:t>.1</w:t>
      </w:r>
      <w:r w:rsidRPr="00975E32">
        <w:tab/>
        <w:t>Levels of addition</w:t>
      </w:r>
      <w:bookmarkEnd w:id="58"/>
      <w:bookmarkEnd w:id="59"/>
      <w:bookmarkEnd w:id="60"/>
      <w:bookmarkEnd w:id="61"/>
      <w:bookmarkEnd w:id="62"/>
      <w:r w:rsidRPr="00975E32">
        <w:t xml:space="preserve"> </w:t>
      </w:r>
    </w:p>
    <w:p w14:paraId="53299B01" w14:textId="77777777" w:rsidR="00975E32" w:rsidRPr="00975E32" w:rsidRDefault="00975E32" w:rsidP="00012C28">
      <w:pPr>
        <w:ind w:right="139"/>
      </w:pPr>
      <w:r w:rsidRPr="00975E32">
        <w:t>This Application is seeking to extend existing permissions in the Code for pectins and carrageenan as processing aids in wine and to permit their use during manufacture of wine in Australia.</w:t>
      </w:r>
    </w:p>
    <w:p w14:paraId="7E2C6A2C" w14:textId="77777777" w:rsidR="00975E32" w:rsidRPr="00975E32" w:rsidRDefault="00975E32" w:rsidP="00975E32"/>
    <w:p w14:paraId="08F22102" w14:textId="2C3A547C" w:rsidR="00975E32" w:rsidRPr="00975E32" w:rsidRDefault="00975E32" w:rsidP="00975E32">
      <w:r w:rsidRPr="00975E32">
        <w:t>In the absence of any public health or safety issues associated with extend</w:t>
      </w:r>
      <w:r w:rsidR="000B2AF2">
        <w:t xml:space="preserve">ing the use of pectins and carrageenan, </w:t>
      </w:r>
      <w:r w:rsidRPr="00975E32">
        <w:t xml:space="preserve">in particular that an ADI ‘not specified’ remains appropriate for both </w:t>
      </w:r>
      <w:r w:rsidR="000B2AF2">
        <w:t>processing aids</w:t>
      </w:r>
      <w:r w:rsidRPr="00975E32">
        <w:t>, there is no reason to limit the levels of addition apart from the requirement to use in accordance with GMP.</w:t>
      </w:r>
    </w:p>
    <w:p w14:paraId="4BE9097D" w14:textId="14DF3E64" w:rsidR="00975E32" w:rsidRPr="00975E32" w:rsidRDefault="00975E32" w:rsidP="00975E32">
      <w:pPr>
        <w:pStyle w:val="Heading3"/>
      </w:pPr>
      <w:bookmarkStart w:id="63" w:name="_Toc427676503"/>
      <w:bookmarkStart w:id="64" w:name="_Toc454787478"/>
      <w:bookmarkStart w:id="65" w:name="_Toc473883725"/>
      <w:bookmarkStart w:id="66" w:name="_Toc481153334"/>
      <w:r w:rsidRPr="00975E32">
        <w:t>2.</w:t>
      </w:r>
      <w:r>
        <w:t>3</w:t>
      </w:r>
      <w:r w:rsidRPr="00975E32">
        <w:t>.2</w:t>
      </w:r>
      <w:r w:rsidRPr="00975E32">
        <w:tab/>
        <w:t>S</w:t>
      </w:r>
      <w:r w:rsidRPr="00975E32">
        <w:rPr>
          <w:rStyle w:val="Heading3Char"/>
          <w:b/>
          <w:lang w:bidi="en-US"/>
        </w:rPr>
        <w:t>pecifi</w:t>
      </w:r>
      <w:r w:rsidRPr="00975E32">
        <w:t>cation</w:t>
      </w:r>
      <w:bookmarkEnd w:id="63"/>
      <w:bookmarkEnd w:id="64"/>
      <w:bookmarkEnd w:id="65"/>
      <w:bookmarkEnd w:id="66"/>
      <w:r w:rsidRPr="00975E32">
        <w:t xml:space="preserve"> </w:t>
      </w:r>
    </w:p>
    <w:p w14:paraId="461DF05A" w14:textId="77777777" w:rsidR="00975E32" w:rsidRPr="00975E32" w:rsidRDefault="00975E32" w:rsidP="00975E32">
      <w:r w:rsidRPr="00975E32">
        <w:t xml:space="preserve">As this Application is seeking an extension of use and specifications already exist in primary references in the Code, no new specifications are required. </w:t>
      </w:r>
    </w:p>
    <w:p w14:paraId="059A94C6" w14:textId="77777777" w:rsidR="00975E32" w:rsidRPr="00975E32" w:rsidRDefault="00975E32" w:rsidP="00975E32"/>
    <w:p w14:paraId="164A2EDF" w14:textId="77777777" w:rsidR="00975E32" w:rsidRPr="00975E32" w:rsidRDefault="00975E32" w:rsidP="00975E32">
      <w:r w:rsidRPr="00975E32">
        <w:t>Analytical methods are available for detection and quantification of pectins and carrageenan.</w:t>
      </w:r>
    </w:p>
    <w:p w14:paraId="36F4EAAB" w14:textId="037DD5E2" w:rsidR="00975E32" w:rsidRPr="00975E32" w:rsidRDefault="00975E32" w:rsidP="00975E32">
      <w:pPr>
        <w:pStyle w:val="Heading3"/>
      </w:pPr>
      <w:bookmarkStart w:id="67" w:name="_Toc426969207"/>
      <w:bookmarkStart w:id="68" w:name="_Toc427676505"/>
      <w:bookmarkStart w:id="69" w:name="_Toc454787480"/>
      <w:bookmarkStart w:id="70" w:name="_Toc473883726"/>
      <w:bookmarkStart w:id="71" w:name="_Toc481153335"/>
      <w:r>
        <w:t>2.3</w:t>
      </w:r>
      <w:r w:rsidRPr="00975E32">
        <w:t>.3</w:t>
      </w:r>
      <w:r w:rsidRPr="00975E32">
        <w:tab/>
        <w:t>L</w:t>
      </w:r>
      <w:r w:rsidRPr="00975E32">
        <w:rPr>
          <w:rStyle w:val="Heading3Char"/>
          <w:b/>
          <w:lang w:bidi="en-US"/>
        </w:rPr>
        <w:t>abel</w:t>
      </w:r>
      <w:r w:rsidRPr="00975E32">
        <w:t>ling</w:t>
      </w:r>
      <w:bookmarkEnd w:id="67"/>
      <w:bookmarkEnd w:id="68"/>
      <w:bookmarkEnd w:id="69"/>
      <w:bookmarkEnd w:id="70"/>
      <w:bookmarkEnd w:id="71"/>
    </w:p>
    <w:p w14:paraId="5B9A4A81" w14:textId="3D2217D2" w:rsidR="00165F4B" w:rsidRPr="00975E32" w:rsidRDefault="00975E32" w:rsidP="00975E32">
      <w:r w:rsidRPr="00975E32">
        <w:t xml:space="preserve">As a general rule, </w:t>
      </w:r>
      <w:r w:rsidR="00165F4B">
        <w:t>wine as a standardised alcoholic beverage is</w:t>
      </w:r>
      <w:r w:rsidRPr="00975E32">
        <w:t xml:space="preserve"> exempt from the requirement to </w:t>
      </w:r>
      <w:r w:rsidR="00165F4B">
        <w:t>provide a</w:t>
      </w:r>
      <w:r w:rsidRPr="00975E32">
        <w:t xml:space="preserve"> statement of ingredients</w:t>
      </w:r>
      <w:r w:rsidR="00A902DA">
        <w:t>, including</w:t>
      </w:r>
      <w:r w:rsidR="00165F4B">
        <w:t xml:space="preserve"> processing aids,</w:t>
      </w:r>
      <w:r w:rsidRPr="00975E32">
        <w:t xml:space="preserve"> in accordance with paragraph 1.2.4—</w:t>
      </w:r>
      <w:r w:rsidR="00165F4B">
        <w:t>2</w:t>
      </w:r>
      <w:r w:rsidRPr="00975E32">
        <w:t>(</w:t>
      </w:r>
      <w:r w:rsidR="00165F4B">
        <w:t>3</w:t>
      </w:r>
      <w:r w:rsidRPr="00975E32">
        <w:t>)(</w:t>
      </w:r>
      <w:r w:rsidR="00165F4B">
        <w:t>b</w:t>
      </w:r>
      <w:r w:rsidRPr="00975E32">
        <w:t xml:space="preserve">) of Standard 1.2.4 – Information requirements – statement of ingredients. </w:t>
      </w:r>
    </w:p>
    <w:p w14:paraId="2FCFF8D8" w14:textId="77777777" w:rsidR="00975E32" w:rsidRPr="00975E32" w:rsidRDefault="00975E32" w:rsidP="00975E32"/>
    <w:p w14:paraId="0FBB84FA" w14:textId="5FF8A0C3" w:rsidR="00227F4C" w:rsidRDefault="00227F4C" w:rsidP="00227F4C">
      <w:r>
        <w:t xml:space="preserve">The risk assessment concluded that the use of </w:t>
      </w:r>
      <w:r w:rsidR="00D10A29">
        <w:t>pectins and carrageenan as processing aids in wine</w:t>
      </w:r>
      <w:r>
        <w:t xml:space="preserve"> poses no risk to public health and safety. Therefore, the generic exemption </w:t>
      </w:r>
      <w:r w:rsidR="001458DE">
        <w:t xml:space="preserve">above </w:t>
      </w:r>
      <w:r>
        <w:t xml:space="preserve">will apply to </w:t>
      </w:r>
      <w:r w:rsidR="00CE5029">
        <w:t>wine produced using</w:t>
      </w:r>
      <w:r>
        <w:t xml:space="preserve"> </w:t>
      </w:r>
      <w:r w:rsidR="00D10A29">
        <w:t>these processing aids</w:t>
      </w:r>
      <w:r>
        <w:t xml:space="preserve">. </w:t>
      </w:r>
    </w:p>
    <w:p w14:paraId="1E73CD82" w14:textId="21BEA29A" w:rsidR="00DA7605" w:rsidRDefault="00DA7605" w:rsidP="00D520B3">
      <w:pPr>
        <w:pStyle w:val="Heading3"/>
      </w:pPr>
      <w:bookmarkStart w:id="72" w:name="_Toc473883718"/>
      <w:bookmarkStart w:id="73" w:name="_Toc481153336"/>
      <w:r>
        <w:t>2.3.4</w:t>
      </w:r>
      <w:r w:rsidRPr="00DA7605">
        <w:tab/>
        <w:t>International and national standards</w:t>
      </w:r>
      <w:bookmarkEnd w:id="72"/>
      <w:bookmarkEnd w:id="73"/>
    </w:p>
    <w:p w14:paraId="5B9FB6B0" w14:textId="56382CC2" w:rsidR="00012C28" w:rsidRDefault="00DA7605" w:rsidP="00DA7605">
      <w:r w:rsidRPr="00DA7605">
        <w:t>Codex Alimentarius does not have specific standards for processing aids, and many countries do not regulate processing aids in the same manner as the Code. There is no Codex Alimentarius standard for wine.</w:t>
      </w:r>
      <w:r w:rsidR="00012C28">
        <w:br w:type="page"/>
      </w:r>
    </w:p>
    <w:p w14:paraId="6F4DD755" w14:textId="60D9CE64" w:rsidR="00DA7605" w:rsidRPr="00DA7605" w:rsidRDefault="00DA7605" w:rsidP="00DA7605">
      <w:r w:rsidRPr="00DA7605">
        <w:lastRenderedPageBreak/>
        <w:t xml:space="preserve">The Organisation Internationale de la Vigne et du Vin </w:t>
      </w:r>
      <w:r w:rsidR="009D0C13">
        <w:t>(also known as the</w:t>
      </w:r>
      <w:r w:rsidR="009D0C13" w:rsidRPr="00DA7605">
        <w:t xml:space="preserve"> </w:t>
      </w:r>
      <w:r w:rsidRPr="00DA7605">
        <w:t>International Organisation of Vine and Wine</w:t>
      </w:r>
      <w:r w:rsidR="009D0C13">
        <w:t>)</w:t>
      </w:r>
      <w:r w:rsidRPr="00DA7605">
        <w:t xml:space="preserve"> (OIV) is a scientific and technical intergovernmental organisation recognised for its competence in work concerning vines, wine, wine-based beverages, table grapes, raisins and other vine-based products. There are no OIV resolutions or other OIV documents for pectins or carrageenan.</w:t>
      </w:r>
    </w:p>
    <w:p w14:paraId="053D9069" w14:textId="77777777" w:rsidR="006A200D" w:rsidRDefault="006A200D" w:rsidP="00DA7605"/>
    <w:p w14:paraId="0F66C7B8" w14:textId="5F440806" w:rsidR="00DA7605" w:rsidRPr="00DA7605" w:rsidRDefault="006A200D" w:rsidP="00DA7605">
      <w:r>
        <w:t>P</w:t>
      </w:r>
      <w:r w:rsidR="00DA7605" w:rsidRPr="00DA7605">
        <w:t>ectins and carrageenan may also be used as food additives</w:t>
      </w:r>
      <w:r>
        <w:t xml:space="preserve">, where they have a functional purpose in the final food. </w:t>
      </w:r>
      <w:r w:rsidR="00DA7605" w:rsidRPr="00DA7605">
        <w:t>Pectins and carrageenan have had their safety assessed by the Joint Expert Committee for Food Additives (JECFA), the EU, and the USA.</w:t>
      </w:r>
    </w:p>
    <w:p w14:paraId="4DE0977B" w14:textId="598449BD" w:rsidR="002C1A3B" w:rsidRPr="003B182F" w:rsidRDefault="002C1A3B" w:rsidP="002C1A3B">
      <w:pPr>
        <w:pStyle w:val="Heading2"/>
      </w:pPr>
      <w:bookmarkStart w:id="74" w:name="_Toc309291814"/>
      <w:bookmarkStart w:id="75" w:name="_Toc370225389"/>
      <w:bookmarkStart w:id="76" w:name="_Toc481153337"/>
      <w:bookmarkStart w:id="77" w:name="_Toc286391012"/>
      <w:bookmarkEnd w:id="57"/>
      <w:r>
        <w:t>2</w:t>
      </w:r>
      <w:r w:rsidRPr="003B182F">
        <w:t>.4</w:t>
      </w:r>
      <w:r w:rsidRPr="003B182F">
        <w:tab/>
        <w:t>Risk communication</w:t>
      </w:r>
      <w:bookmarkEnd w:id="74"/>
      <w:bookmarkEnd w:id="75"/>
      <w:bookmarkEnd w:id="76"/>
      <w:r w:rsidRPr="003B182F">
        <w:t xml:space="preserve"> </w:t>
      </w:r>
    </w:p>
    <w:p w14:paraId="3C202459" w14:textId="77777777" w:rsidR="002C1A3B" w:rsidRPr="003B182F" w:rsidRDefault="002C1A3B" w:rsidP="002C1A3B">
      <w:pPr>
        <w:pStyle w:val="Heading3"/>
      </w:pPr>
      <w:bookmarkStart w:id="78" w:name="_Toc300933437"/>
      <w:bookmarkStart w:id="79" w:name="_Toc370223475"/>
      <w:bookmarkStart w:id="80" w:name="_Toc370225390"/>
      <w:bookmarkStart w:id="81" w:name="_Toc481153338"/>
      <w:r w:rsidRPr="003B182F">
        <w:t>2.4.1</w:t>
      </w:r>
      <w:r w:rsidRPr="003B182F">
        <w:tab/>
        <w:t>Consultation</w:t>
      </w:r>
      <w:bookmarkEnd w:id="78"/>
      <w:bookmarkEnd w:id="79"/>
      <w:bookmarkEnd w:id="80"/>
      <w:bookmarkEnd w:id="81"/>
    </w:p>
    <w:p w14:paraId="381F3BEE" w14:textId="77777777" w:rsidR="002C1A3B" w:rsidRPr="003B182F" w:rsidRDefault="002C1A3B" w:rsidP="002C1A3B">
      <w:pPr>
        <w:rPr>
          <w:szCs w:val="22"/>
        </w:rPr>
      </w:pPr>
      <w:r w:rsidRPr="003B182F">
        <w:rPr>
          <w:szCs w:val="22"/>
        </w:rPr>
        <w:t xml:space="preserve">Consultation is a key part of FSANZ’s standards development process. </w:t>
      </w:r>
    </w:p>
    <w:p w14:paraId="214AEBE2" w14:textId="047AE8A6" w:rsidR="002C1A3B" w:rsidRPr="003B182F" w:rsidRDefault="002C1A3B" w:rsidP="002C1A3B"/>
    <w:p w14:paraId="1421A7DA" w14:textId="614C8131" w:rsidR="00A21589" w:rsidRPr="003B182F" w:rsidRDefault="00A21589" w:rsidP="00A21589">
      <w:r w:rsidRPr="003B182F">
        <w:t>The process by which FSANZ considers standard development matters is open, accountable, consultative and transparent. Public submissions were sought to obtain the views of interested parties on the Application and the impacts of the regulatory options. The call for submissions was notified via the FSANZ Notification Circular, media release, FSANZ’s social media tools and Food Standards News on 20 February 2017 with a closing date of 4 March 2017.</w:t>
      </w:r>
    </w:p>
    <w:p w14:paraId="31857A28" w14:textId="45B1555E" w:rsidR="002C1A3B" w:rsidRPr="003B182F" w:rsidRDefault="002C1A3B" w:rsidP="002C1A3B">
      <w:pPr>
        <w:rPr>
          <w:szCs w:val="22"/>
        </w:rPr>
      </w:pPr>
    </w:p>
    <w:p w14:paraId="68AC2007" w14:textId="3DB687CF" w:rsidR="002C1A3B" w:rsidRPr="003B182F" w:rsidRDefault="008C2B6A" w:rsidP="002C1A3B">
      <w:pPr>
        <w:rPr>
          <w:szCs w:val="22"/>
        </w:rPr>
      </w:pPr>
      <w:r w:rsidRPr="003B182F">
        <w:rPr>
          <w:szCs w:val="22"/>
        </w:rPr>
        <w:t xml:space="preserve">Two submissions were received. </w:t>
      </w:r>
      <w:r w:rsidR="002C1A3B" w:rsidRPr="003B182F">
        <w:rPr>
          <w:szCs w:val="22"/>
        </w:rPr>
        <w:t xml:space="preserve">FSANZ acknowledges the time taken by individuals and organisations to make submissions on this Application. </w:t>
      </w:r>
    </w:p>
    <w:p w14:paraId="2E55A208" w14:textId="77777777" w:rsidR="002C1A3B" w:rsidRPr="003B182F" w:rsidRDefault="002C1A3B" w:rsidP="002C1A3B">
      <w:pPr>
        <w:rPr>
          <w:szCs w:val="22"/>
        </w:rPr>
      </w:pPr>
    </w:p>
    <w:p w14:paraId="2A9B0656" w14:textId="759EFC79" w:rsidR="002C1A3B" w:rsidRPr="003B182F" w:rsidRDefault="002C1A3B" w:rsidP="002C1A3B">
      <w:pPr>
        <w:rPr>
          <w:szCs w:val="22"/>
        </w:rPr>
      </w:pPr>
      <w:r w:rsidRPr="003B182F">
        <w:rPr>
          <w:szCs w:val="22"/>
        </w:rPr>
        <w:t>Every submission on</w:t>
      </w:r>
      <w:r w:rsidR="00FF1B03" w:rsidRPr="003B182F">
        <w:rPr>
          <w:szCs w:val="22"/>
        </w:rPr>
        <w:t xml:space="preserve"> an application or proposal wa</w:t>
      </w:r>
      <w:r w:rsidR="00862349" w:rsidRPr="003B182F">
        <w:rPr>
          <w:szCs w:val="22"/>
        </w:rPr>
        <w:t>s considered</w:t>
      </w:r>
      <w:r w:rsidRPr="003B182F">
        <w:rPr>
          <w:szCs w:val="22"/>
        </w:rPr>
        <w:t xml:space="preserve"> by </w:t>
      </w:r>
      <w:r w:rsidR="00862349" w:rsidRPr="003B182F">
        <w:rPr>
          <w:szCs w:val="22"/>
        </w:rPr>
        <w:t xml:space="preserve">the </w:t>
      </w:r>
      <w:r w:rsidRPr="003B182F">
        <w:rPr>
          <w:szCs w:val="22"/>
        </w:rPr>
        <w:t xml:space="preserve">FSANZ </w:t>
      </w:r>
      <w:r w:rsidR="00862349" w:rsidRPr="003B182F">
        <w:rPr>
          <w:szCs w:val="22"/>
        </w:rPr>
        <w:t>Board</w:t>
      </w:r>
      <w:r w:rsidRPr="003B182F">
        <w:rPr>
          <w:szCs w:val="22"/>
        </w:rPr>
        <w:t xml:space="preserve">. </w:t>
      </w:r>
      <w:r w:rsidR="00862349" w:rsidRPr="003B182F">
        <w:rPr>
          <w:szCs w:val="22"/>
        </w:rPr>
        <w:t>A</w:t>
      </w:r>
      <w:r w:rsidRPr="003B182F">
        <w:rPr>
          <w:szCs w:val="22"/>
        </w:rPr>
        <w:t xml:space="preserve">ll comments are valued and contribute to the rigour of our assessment. </w:t>
      </w:r>
    </w:p>
    <w:p w14:paraId="75D10AF9" w14:textId="77777777" w:rsidR="002C1A3B" w:rsidRPr="00E16C08" w:rsidRDefault="002C1A3B" w:rsidP="002C1A3B">
      <w:pPr>
        <w:pStyle w:val="Heading2"/>
      </w:pPr>
      <w:bookmarkStart w:id="82" w:name="_Toc370223477"/>
      <w:bookmarkStart w:id="83" w:name="_Toc370225392"/>
      <w:bookmarkStart w:id="84" w:name="_Toc481153339"/>
      <w:bookmarkStart w:id="85" w:name="_Toc309291816"/>
      <w:bookmarkStart w:id="86" w:name="_Toc300933448"/>
      <w:bookmarkStart w:id="87" w:name="_Toc300933577"/>
      <w:bookmarkStart w:id="88" w:name="_Toc301535601"/>
      <w:bookmarkStart w:id="89" w:name="_Toc309385464"/>
      <w:bookmarkStart w:id="90" w:name="_Toc175381456"/>
      <w:bookmarkEnd w:id="33"/>
      <w:bookmarkEnd w:id="34"/>
      <w:bookmarkEnd w:id="35"/>
      <w:bookmarkEnd w:id="36"/>
      <w:bookmarkEnd w:id="37"/>
      <w:bookmarkEnd w:id="38"/>
      <w:bookmarkEnd w:id="77"/>
      <w:r w:rsidRPr="003B182F">
        <w:t>2.5</w:t>
      </w:r>
      <w:r w:rsidRPr="00E16C08">
        <w:tab/>
        <w:t>FSANZ Act assessment requirements</w:t>
      </w:r>
      <w:bookmarkEnd w:id="82"/>
      <w:bookmarkEnd w:id="83"/>
      <w:bookmarkEnd w:id="84"/>
    </w:p>
    <w:p w14:paraId="6F9EE099" w14:textId="316E53C6" w:rsidR="002C1A3B" w:rsidRPr="00E16C08" w:rsidRDefault="002C1A3B" w:rsidP="002C1A3B">
      <w:pPr>
        <w:pStyle w:val="Heading3"/>
      </w:pPr>
      <w:bookmarkStart w:id="91" w:name="_Toc370223478"/>
      <w:bookmarkStart w:id="92" w:name="_Toc370225393"/>
      <w:bookmarkStart w:id="93" w:name="_Toc481153340"/>
      <w:bookmarkEnd w:id="85"/>
      <w:bookmarkEnd w:id="86"/>
      <w:bookmarkEnd w:id="87"/>
      <w:bookmarkEnd w:id="88"/>
      <w:bookmarkEnd w:id="89"/>
      <w:r w:rsidRPr="00E16C08">
        <w:t>2.5.1</w:t>
      </w:r>
      <w:r w:rsidRPr="00E16C08">
        <w:tab/>
        <w:t>Section 29</w:t>
      </w:r>
      <w:bookmarkEnd w:id="91"/>
      <w:bookmarkEnd w:id="92"/>
      <w:bookmarkEnd w:id="93"/>
    </w:p>
    <w:p w14:paraId="3D1B4E62" w14:textId="77777777" w:rsidR="002C1A3B" w:rsidRPr="00E16C08" w:rsidRDefault="002C1A3B" w:rsidP="002C1A3B">
      <w:pPr>
        <w:pStyle w:val="Heading4"/>
      </w:pPr>
      <w:r w:rsidRPr="00E16C08">
        <w:t>2.5.1.1</w:t>
      </w:r>
      <w:r w:rsidRPr="00E16C08">
        <w:tab/>
      </w:r>
      <w:r w:rsidR="00BF45A3" w:rsidRPr="00E16C08">
        <w:t>Consideration of costs and</w:t>
      </w:r>
      <w:r w:rsidRPr="00E16C08">
        <w:t xml:space="preserve"> benefit</w:t>
      </w:r>
      <w:r w:rsidR="00BF45A3" w:rsidRPr="00E16C08">
        <w:t>s</w:t>
      </w:r>
    </w:p>
    <w:p w14:paraId="5B9AE8BB" w14:textId="74C39911" w:rsidR="002C1A3B" w:rsidRPr="00E16C08" w:rsidRDefault="0099623A" w:rsidP="002C1A3B">
      <w:r w:rsidRPr="00E16C08">
        <w:t xml:space="preserve">The direct and indirect benefits that would arise from a food regulatory measure developed or varied as a result of the </w:t>
      </w:r>
      <w:r w:rsidR="00E16C08" w:rsidRPr="00E16C08">
        <w:t>A</w:t>
      </w:r>
      <w:r w:rsidRPr="00E16C08">
        <w:t>pplication outweigh the costs to the community, Government or industry that would arise from the development or variation of the food regulatory measure.</w:t>
      </w:r>
    </w:p>
    <w:p w14:paraId="60DF33AF" w14:textId="77777777" w:rsidR="0099623A" w:rsidRPr="00E16C08" w:rsidRDefault="0099623A" w:rsidP="002C1A3B"/>
    <w:p w14:paraId="01C445A1" w14:textId="77777777" w:rsidR="00E16C08" w:rsidRPr="00E16C08" w:rsidRDefault="00E16C08" w:rsidP="00E16C08">
      <w:r w:rsidRPr="00E16C08">
        <w:t>The likely impacts of the draft variation are summarised in Table 2 below.</w:t>
      </w:r>
    </w:p>
    <w:p w14:paraId="165D174C" w14:textId="77777777" w:rsidR="00E16C08" w:rsidRPr="00E16C08" w:rsidRDefault="00E16C08" w:rsidP="00E16C08"/>
    <w:p w14:paraId="6F79EF90" w14:textId="76D381CA" w:rsidR="00E16C08" w:rsidRPr="00E16C08" w:rsidRDefault="00E16C08" w:rsidP="00E16C08">
      <w:pPr>
        <w:pStyle w:val="FSTableTitle"/>
      </w:pPr>
      <w:r w:rsidRPr="00E16C08">
        <w:t>Table 2</w:t>
      </w:r>
      <w:r w:rsidR="00012C28">
        <w:t xml:space="preserve">: </w:t>
      </w:r>
      <w:r w:rsidRPr="00E16C08">
        <w:t xml:space="preserve"> Summary of likely effects of the draft variation </w:t>
      </w:r>
    </w:p>
    <w:p w14:paraId="33E85D2D" w14:textId="77777777" w:rsidR="00E16C08" w:rsidRPr="00E16C08" w:rsidRDefault="00E16C08" w:rsidP="00E16C08"/>
    <w:tbl>
      <w:tblPr>
        <w:tblStyle w:val="TableGrid"/>
        <w:tblW w:w="9322" w:type="dxa"/>
        <w:tblLook w:val="04A0" w:firstRow="1" w:lastRow="0" w:firstColumn="1" w:lastColumn="0" w:noHBand="0" w:noVBand="1"/>
      </w:tblPr>
      <w:tblGrid>
        <w:gridCol w:w="1537"/>
        <w:gridCol w:w="7785"/>
      </w:tblGrid>
      <w:tr w:rsidR="00E16C08" w:rsidRPr="00E16C08" w14:paraId="13858F17" w14:textId="77777777" w:rsidTr="007A570B">
        <w:tc>
          <w:tcPr>
            <w:tcW w:w="0" w:type="auto"/>
            <w:shd w:val="clear" w:color="auto" w:fill="C2D69B" w:themeFill="accent3" w:themeFillTint="99"/>
          </w:tcPr>
          <w:p w14:paraId="744B568B" w14:textId="77777777" w:rsidR="00E16C08" w:rsidRPr="00E16C08" w:rsidRDefault="00E16C08" w:rsidP="00E16C08">
            <w:pPr>
              <w:rPr>
                <w:b/>
              </w:rPr>
            </w:pPr>
            <w:r w:rsidRPr="00E16C08">
              <w:rPr>
                <w:b/>
              </w:rPr>
              <w:t>Sector</w:t>
            </w:r>
          </w:p>
        </w:tc>
        <w:tc>
          <w:tcPr>
            <w:tcW w:w="7905" w:type="dxa"/>
            <w:shd w:val="clear" w:color="auto" w:fill="C2D69B" w:themeFill="accent3" w:themeFillTint="99"/>
          </w:tcPr>
          <w:p w14:paraId="0944127A" w14:textId="27EA3A88" w:rsidR="00E16C08" w:rsidRPr="00E16C08" w:rsidRDefault="00E16C08" w:rsidP="00E16C08">
            <w:pPr>
              <w:rPr>
                <w:b/>
              </w:rPr>
            </w:pPr>
            <w:r w:rsidRPr="00E16C08">
              <w:rPr>
                <w:b/>
              </w:rPr>
              <w:t xml:space="preserve">Costs or benefits </w:t>
            </w:r>
            <w:r>
              <w:rPr>
                <w:b/>
              </w:rPr>
              <w:t>of</w:t>
            </w:r>
            <w:r w:rsidRPr="00E16C08">
              <w:rPr>
                <w:b/>
              </w:rPr>
              <w:t xml:space="preserve"> draft variation</w:t>
            </w:r>
          </w:p>
        </w:tc>
      </w:tr>
      <w:tr w:rsidR="00E16C08" w:rsidRPr="00E16C08" w14:paraId="040C4780" w14:textId="77777777" w:rsidTr="007A570B">
        <w:trPr>
          <w:trHeight w:val="283"/>
        </w:trPr>
        <w:tc>
          <w:tcPr>
            <w:tcW w:w="0" w:type="auto"/>
          </w:tcPr>
          <w:p w14:paraId="05CF24C0" w14:textId="77777777" w:rsidR="00E16C08" w:rsidRPr="00E16C08" w:rsidRDefault="00E16C08" w:rsidP="00E16C08">
            <w:r w:rsidRPr="00E16C08">
              <w:t>Consumers</w:t>
            </w:r>
          </w:p>
        </w:tc>
        <w:tc>
          <w:tcPr>
            <w:tcW w:w="7905" w:type="dxa"/>
          </w:tcPr>
          <w:p w14:paraId="76C1807C" w14:textId="77777777" w:rsidR="00E16C08" w:rsidRPr="00E16C08" w:rsidRDefault="00E16C08" w:rsidP="00E16C08">
            <w:pPr>
              <w:pStyle w:val="FSBullet1"/>
            </w:pPr>
            <w:r w:rsidRPr="00E16C08">
              <w:t>There will be no costs to consumers.</w:t>
            </w:r>
          </w:p>
          <w:p w14:paraId="4E873791" w14:textId="7E73A36F" w:rsidR="00E16C08" w:rsidRPr="00E16C08" w:rsidRDefault="00E16C08" w:rsidP="00E16C08">
            <w:pPr>
              <w:pStyle w:val="FSBullet1"/>
            </w:pPr>
            <w:r w:rsidRPr="00E16C08">
              <w:t xml:space="preserve">Consumers are unlikely to see a direct economic benefit from this option. However, indirectly they may receive quality or environmental benefits if it means that wine manufacturers are able to produce well fined clear wine via a process based on sustainable raw materials rather than the use of mined bentonite. </w:t>
            </w:r>
          </w:p>
          <w:p w14:paraId="419ECC31" w14:textId="764EF7D9" w:rsidR="00E16C08" w:rsidRPr="00E16C08" w:rsidRDefault="00E16C08" w:rsidP="00E16C08">
            <w:pPr>
              <w:rPr>
                <w:lang w:bidi="ar-SA"/>
              </w:rPr>
            </w:pPr>
          </w:p>
        </w:tc>
      </w:tr>
      <w:tr w:rsidR="00E16C08" w:rsidRPr="00E16C08" w14:paraId="7A4F4C98" w14:textId="77777777" w:rsidTr="007A570B">
        <w:trPr>
          <w:trHeight w:val="283"/>
        </w:trPr>
        <w:tc>
          <w:tcPr>
            <w:tcW w:w="0" w:type="auto"/>
          </w:tcPr>
          <w:p w14:paraId="661FA8DA" w14:textId="77777777" w:rsidR="00E16C08" w:rsidRPr="00E16C08" w:rsidRDefault="00E16C08" w:rsidP="00E16C08">
            <w:r w:rsidRPr="00E16C08">
              <w:t>Industry</w:t>
            </w:r>
          </w:p>
        </w:tc>
        <w:tc>
          <w:tcPr>
            <w:tcW w:w="7905" w:type="dxa"/>
          </w:tcPr>
          <w:p w14:paraId="26CD2F2E" w14:textId="794C9906" w:rsidR="00E16C08" w:rsidRPr="00E16C08" w:rsidRDefault="00E16C08" w:rsidP="00E16C08">
            <w:pPr>
              <w:pStyle w:val="FSBullet1"/>
            </w:pPr>
            <w:r w:rsidRPr="00E16C08">
              <w:t>These fining agents are more costly than bentonite.</w:t>
            </w:r>
          </w:p>
          <w:p w14:paraId="5E7AD781" w14:textId="22296E41" w:rsidR="00E16C08" w:rsidRPr="00E16C08" w:rsidRDefault="00E16C08" w:rsidP="00E16C08">
            <w:pPr>
              <w:pStyle w:val="FSBullet1"/>
            </w:pPr>
            <w:r w:rsidRPr="00E16C08">
              <w:t>The wine industry would benefit by having alternative wine fining agents sourced from plants and seaweed.</w:t>
            </w:r>
          </w:p>
          <w:p w14:paraId="05E2C42B" w14:textId="2105B7E5" w:rsidR="00E16C08" w:rsidRPr="00E16C08" w:rsidRDefault="00E16C08" w:rsidP="00E16C08">
            <w:pPr>
              <w:pStyle w:val="FSBullet1"/>
            </w:pPr>
            <w:r w:rsidRPr="00E16C08">
              <w:lastRenderedPageBreak/>
              <w:t>There are claimed to be benefits for the efficacy of the fining process and less fining agent needed for some wines and so less waste produced; however, FSANZ has not made an economic assessment of the claimed benefits.</w:t>
            </w:r>
          </w:p>
          <w:p w14:paraId="58D51227" w14:textId="77777777" w:rsidR="00E16C08" w:rsidRPr="00E16C08" w:rsidRDefault="00E16C08" w:rsidP="00E16C08">
            <w:pPr>
              <w:pStyle w:val="FSBullet1"/>
            </w:pPr>
            <w:r w:rsidRPr="00E16C08">
              <w:t>In practice these fining agents will only be used if there is a net benefit, and the fact that research has been conducted and the application has been made by the Winemakers Federation of Australia implies that a net benefit is possible.</w:t>
            </w:r>
          </w:p>
          <w:p w14:paraId="0EDE1EC6" w14:textId="1A12A873" w:rsidR="00E16C08" w:rsidRPr="00E16C08" w:rsidRDefault="00E16C08" w:rsidP="00E16C08">
            <w:pPr>
              <w:rPr>
                <w:lang w:bidi="ar-SA"/>
              </w:rPr>
            </w:pPr>
          </w:p>
        </w:tc>
      </w:tr>
      <w:tr w:rsidR="00E16C08" w:rsidRPr="00E16C08" w14:paraId="59D667CF" w14:textId="77777777" w:rsidTr="007A570B">
        <w:trPr>
          <w:trHeight w:val="283"/>
        </w:trPr>
        <w:tc>
          <w:tcPr>
            <w:tcW w:w="0" w:type="auto"/>
          </w:tcPr>
          <w:p w14:paraId="4F3A6C0A" w14:textId="77777777" w:rsidR="00E16C08" w:rsidRPr="00E16C08" w:rsidRDefault="00E16C08" w:rsidP="00E16C08">
            <w:r w:rsidRPr="00E16C08">
              <w:lastRenderedPageBreak/>
              <w:t>Governments</w:t>
            </w:r>
          </w:p>
        </w:tc>
        <w:tc>
          <w:tcPr>
            <w:tcW w:w="7905" w:type="dxa"/>
          </w:tcPr>
          <w:p w14:paraId="0F4F8930" w14:textId="75C364E6" w:rsidR="00E16C08" w:rsidRPr="00E16C08" w:rsidRDefault="00E21021" w:rsidP="00E21021">
            <w:pPr>
              <w:pStyle w:val="FSBullet1"/>
            </w:pPr>
            <w:r>
              <w:t xml:space="preserve">This variation </w:t>
            </w:r>
            <w:r w:rsidRPr="00E21021">
              <w:t xml:space="preserve">adds two more </w:t>
            </w:r>
            <w:r>
              <w:t xml:space="preserve">permitted </w:t>
            </w:r>
            <w:r w:rsidRPr="00E21021">
              <w:t xml:space="preserve">processing aids </w:t>
            </w:r>
            <w:r>
              <w:t>to the wine production standard.</w:t>
            </w:r>
            <w:r w:rsidRPr="00E21021">
              <w:t xml:space="preserve"> There would be no more (or less) impact on compliance than currently</w:t>
            </w:r>
            <w:r>
              <w:t>.</w:t>
            </w:r>
          </w:p>
          <w:p w14:paraId="794EA9D6" w14:textId="77777777" w:rsidR="00E16C08" w:rsidRPr="00E16C08" w:rsidRDefault="00E16C08" w:rsidP="00E16C08"/>
        </w:tc>
      </w:tr>
    </w:tbl>
    <w:p w14:paraId="2DDDB9F4" w14:textId="77777777" w:rsidR="002C1A3B" w:rsidRPr="00AC1FFA" w:rsidRDefault="002C1A3B" w:rsidP="002C1A3B">
      <w:pPr>
        <w:pStyle w:val="Heading4"/>
      </w:pPr>
      <w:r w:rsidRPr="00E16C08">
        <w:t>2.5.</w:t>
      </w:r>
      <w:r w:rsidRPr="002C1A3B">
        <w:t>1.2</w:t>
      </w:r>
      <w:r w:rsidRPr="002C1A3B">
        <w:tab/>
        <w:t>Other measures</w:t>
      </w:r>
    </w:p>
    <w:p w14:paraId="2E3382B5" w14:textId="734F80C7" w:rsidR="002C1A3B" w:rsidRPr="00AC1FFA" w:rsidRDefault="002C1A3B" w:rsidP="002C1A3B">
      <w:r w:rsidRPr="00AC1FFA">
        <w:t xml:space="preserve">There are no other measures (whether available to FSANZ or not) that would be more </w:t>
      </w:r>
      <w:r w:rsidR="00945F27">
        <w:br/>
      </w:r>
      <w:r w:rsidRPr="00AC1FFA">
        <w:t xml:space="preserve">cost-effective than a food regulatory measure developed or varied as a result of the </w:t>
      </w:r>
      <w:r w:rsidR="00AC1FFA" w:rsidRPr="00AC1FFA">
        <w:t>Application</w:t>
      </w:r>
      <w:r w:rsidRPr="00AC1FFA">
        <w:t>.</w:t>
      </w:r>
    </w:p>
    <w:p w14:paraId="092A3505" w14:textId="77777777" w:rsidR="002C1A3B" w:rsidRPr="002C1A3B" w:rsidRDefault="002C1A3B" w:rsidP="002C1A3B">
      <w:pPr>
        <w:pStyle w:val="Heading4"/>
      </w:pPr>
      <w:r w:rsidRPr="00AC1FFA">
        <w:t>2.5.1.3</w:t>
      </w:r>
      <w:r w:rsidRPr="00AC1FFA">
        <w:tab/>
        <w:t xml:space="preserve">Any relevant New Zealand </w:t>
      </w:r>
      <w:r w:rsidRPr="002C1A3B">
        <w:t>standards</w:t>
      </w:r>
    </w:p>
    <w:p w14:paraId="7762EC16" w14:textId="745652EB" w:rsidR="009158C4" w:rsidRPr="009158C4" w:rsidRDefault="009158C4" w:rsidP="009158C4">
      <w:pPr>
        <w:rPr>
          <w:lang w:bidi="ar-SA"/>
        </w:rPr>
      </w:pPr>
      <w:r w:rsidRPr="009158C4">
        <w:rPr>
          <w:lang w:bidi="ar-SA"/>
        </w:rPr>
        <w:t>The amendment is proposed to Standard 4.5.1 which is an Australia</w:t>
      </w:r>
      <w:r w:rsidR="009D0C13">
        <w:rPr>
          <w:lang w:bidi="ar-SA"/>
        </w:rPr>
        <w:t xml:space="preserve"> </w:t>
      </w:r>
      <w:r w:rsidRPr="009158C4">
        <w:rPr>
          <w:lang w:bidi="ar-SA"/>
        </w:rPr>
        <w:t xml:space="preserve">only </w:t>
      </w:r>
      <w:r>
        <w:rPr>
          <w:lang w:bidi="ar-SA"/>
        </w:rPr>
        <w:t xml:space="preserve">food production </w:t>
      </w:r>
      <w:r w:rsidRPr="009158C4">
        <w:rPr>
          <w:lang w:bidi="ar-SA"/>
        </w:rPr>
        <w:t>Standard. Wine produced in New Zealand already has permission to use pectins and carrageenan as processing aids to fine wine</w:t>
      </w:r>
      <w:r>
        <w:rPr>
          <w:lang w:bidi="ar-SA"/>
        </w:rPr>
        <w:t xml:space="preserve"> because of the general permission in Standard 1.3.3.</w:t>
      </w:r>
    </w:p>
    <w:p w14:paraId="55B02324" w14:textId="77777777" w:rsidR="002C1A3B" w:rsidRPr="0025380C" w:rsidRDefault="002C1A3B" w:rsidP="002C1A3B">
      <w:pPr>
        <w:pStyle w:val="Heading4"/>
      </w:pPr>
      <w:r w:rsidRPr="002C1A3B">
        <w:t>2.5.1.4</w:t>
      </w:r>
      <w:r w:rsidRPr="002C1A3B">
        <w:tab/>
        <w:t xml:space="preserve">Any other </w:t>
      </w:r>
      <w:r w:rsidRPr="0025380C">
        <w:t>relevant matters</w:t>
      </w:r>
    </w:p>
    <w:p w14:paraId="60384FF2" w14:textId="11F2944E" w:rsidR="001F7F63" w:rsidRPr="0025380C" w:rsidRDefault="001F7F63" w:rsidP="001F7F63">
      <w:bookmarkStart w:id="94" w:name="_Toc370223479"/>
      <w:bookmarkStart w:id="95" w:name="_Toc370225394"/>
      <w:bookmarkStart w:id="96" w:name="_Toc300761897"/>
      <w:bookmarkStart w:id="97" w:name="_Toc300933440"/>
      <w:r w:rsidRPr="0025380C">
        <w:t>Other relevant matters are considered below</w:t>
      </w:r>
      <w:r w:rsidRPr="0025380C">
        <w:rPr>
          <w:lang w:bidi="ar-SA"/>
        </w:rPr>
        <w:t>.</w:t>
      </w:r>
      <w:r w:rsidRPr="0025380C">
        <w:t xml:space="preserve"> </w:t>
      </w:r>
    </w:p>
    <w:p w14:paraId="6B5FD506" w14:textId="77777777" w:rsidR="002C1A3B" w:rsidRPr="002C1A3B" w:rsidRDefault="002C1A3B" w:rsidP="002C1A3B">
      <w:pPr>
        <w:pStyle w:val="Heading3"/>
      </w:pPr>
      <w:bookmarkStart w:id="98" w:name="_Toc481153341"/>
      <w:r w:rsidRPr="0025380C">
        <w:t>2.5.2.</w:t>
      </w:r>
      <w:r w:rsidRPr="0025380C">
        <w:tab/>
        <w:t>Subsection 18(1</w:t>
      </w:r>
      <w:r w:rsidRPr="002C1A3B">
        <w:t>)</w:t>
      </w:r>
      <w:bookmarkEnd w:id="94"/>
      <w:bookmarkEnd w:id="95"/>
      <w:bookmarkEnd w:id="98"/>
      <w:r w:rsidRPr="002C1A3B">
        <w:t xml:space="preserve"> </w:t>
      </w:r>
      <w:bookmarkEnd w:id="96"/>
      <w:bookmarkEnd w:id="97"/>
    </w:p>
    <w:p w14:paraId="567C266A"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73DA8540" w14:textId="77777777" w:rsidR="002C1A3B" w:rsidRPr="00B525BA" w:rsidRDefault="002C1A3B" w:rsidP="002C1A3B">
      <w:pPr>
        <w:pStyle w:val="Heading4"/>
        <w:rPr>
          <w:lang w:eastAsia="en-AU"/>
        </w:rPr>
      </w:pPr>
      <w:bookmarkStart w:id="99" w:name="_Toc297029117"/>
      <w:bookmarkStart w:id="100" w:name="_Toc300761898"/>
      <w:bookmarkStart w:id="101" w:name="_Toc300933441"/>
      <w:r w:rsidRPr="00B525BA">
        <w:rPr>
          <w:lang w:eastAsia="en-AU"/>
        </w:rPr>
        <w:t>2.5.2.1</w:t>
      </w:r>
      <w:r w:rsidRPr="00B525BA">
        <w:rPr>
          <w:lang w:eastAsia="en-AU"/>
        </w:rPr>
        <w:tab/>
        <w:t>Protection of public health and safety</w:t>
      </w:r>
      <w:bookmarkEnd w:id="99"/>
      <w:bookmarkEnd w:id="100"/>
      <w:bookmarkEnd w:id="101"/>
    </w:p>
    <w:p w14:paraId="2136D2CD" w14:textId="0E4DD14F" w:rsidR="002C1A3B" w:rsidRPr="00B525BA" w:rsidRDefault="00B525BA" w:rsidP="002C1A3B">
      <w:r w:rsidRPr="00B525BA">
        <w:t>FSANZ undertook a safety assessment and concluded there were no public health and safety concerns with permitting pectins and carrageenan as processing aids for wine produced in Australia.</w:t>
      </w:r>
    </w:p>
    <w:p w14:paraId="4F41C156" w14:textId="77777777" w:rsidR="002C1A3B" w:rsidRPr="00B525BA" w:rsidRDefault="002C1A3B" w:rsidP="002C1A3B">
      <w:pPr>
        <w:pStyle w:val="Heading4"/>
        <w:rPr>
          <w:lang w:eastAsia="en-AU"/>
        </w:rPr>
      </w:pPr>
      <w:bookmarkStart w:id="102" w:name="_Toc300761899"/>
      <w:bookmarkStart w:id="103" w:name="_Toc300933442"/>
      <w:r w:rsidRPr="002C1A3B">
        <w:rPr>
          <w:lang w:eastAsia="en-AU"/>
        </w:rPr>
        <w:t>2.5.2.2</w:t>
      </w:r>
      <w:r w:rsidRPr="002C1A3B">
        <w:rPr>
          <w:lang w:eastAsia="en-AU"/>
        </w:rPr>
        <w:tab/>
        <w:t xml:space="preserve">The provision of adequate </w:t>
      </w:r>
      <w:r w:rsidRPr="00B525BA">
        <w:rPr>
          <w:lang w:eastAsia="en-AU"/>
        </w:rPr>
        <w:t>information relating to food to enable consumers to make informed choices</w:t>
      </w:r>
      <w:bookmarkEnd w:id="102"/>
      <w:bookmarkEnd w:id="103"/>
    </w:p>
    <w:p w14:paraId="5270C201" w14:textId="014BCE1B" w:rsidR="00164F0F" w:rsidRPr="00D520B3" w:rsidRDefault="00164F0F" w:rsidP="00164F0F">
      <w:r w:rsidRPr="00DF3D74">
        <w:t xml:space="preserve">The labelling </w:t>
      </w:r>
      <w:r>
        <w:t>approach for</w:t>
      </w:r>
      <w:r w:rsidRPr="00DF3D74">
        <w:t xml:space="preserve"> </w:t>
      </w:r>
      <w:r>
        <w:t xml:space="preserve">the </w:t>
      </w:r>
      <w:r w:rsidRPr="00DF3D74">
        <w:t>processing aid</w:t>
      </w:r>
      <w:r w:rsidR="00AE7719">
        <w:t>s</w:t>
      </w:r>
      <w:r w:rsidRPr="00DF3D74">
        <w:t xml:space="preserve"> </w:t>
      </w:r>
      <w:r>
        <w:t xml:space="preserve">is </w:t>
      </w:r>
      <w:r w:rsidRPr="00DF3D74">
        <w:t>discussed in Section 2.</w:t>
      </w:r>
      <w:r>
        <w:t>3.3 above</w:t>
      </w:r>
      <w:r w:rsidRPr="00DF3D74">
        <w:t>.</w:t>
      </w:r>
      <w:r>
        <w:t xml:space="preserve"> This approach is consistent with the existing provisions in the Code for the labelling of permitted processing aids.</w:t>
      </w:r>
    </w:p>
    <w:p w14:paraId="0CDCAF0D" w14:textId="77777777" w:rsidR="002C1A3B" w:rsidRPr="00B525BA" w:rsidRDefault="002C1A3B" w:rsidP="002C1A3B">
      <w:pPr>
        <w:pStyle w:val="Heading4"/>
        <w:rPr>
          <w:lang w:eastAsia="en-AU"/>
        </w:rPr>
      </w:pPr>
      <w:bookmarkStart w:id="104" w:name="_Toc300761900"/>
      <w:bookmarkStart w:id="105" w:name="_Toc300933443"/>
      <w:r w:rsidRPr="00B525BA">
        <w:rPr>
          <w:lang w:eastAsia="en-AU"/>
        </w:rPr>
        <w:t>2.5.2.3</w:t>
      </w:r>
      <w:r w:rsidRPr="00B525BA">
        <w:rPr>
          <w:lang w:eastAsia="en-AU"/>
        </w:rPr>
        <w:tab/>
        <w:t>The prevention of misleading or deceptive conduct</w:t>
      </w:r>
      <w:bookmarkEnd w:id="104"/>
      <w:bookmarkEnd w:id="105"/>
    </w:p>
    <w:p w14:paraId="0934402C" w14:textId="5079FD8B" w:rsidR="00012C28" w:rsidRDefault="00B525BA" w:rsidP="002C1A3B">
      <w:r w:rsidRPr="00B525BA">
        <w:t>No issues were identified for this Application relevant to this objective.</w:t>
      </w:r>
      <w:r w:rsidR="00012C28">
        <w:br w:type="page"/>
      </w:r>
    </w:p>
    <w:p w14:paraId="348E7F2C" w14:textId="77777777" w:rsidR="002C1A3B" w:rsidRPr="002C1A3B" w:rsidRDefault="002C1A3B" w:rsidP="002C1A3B">
      <w:pPr>
        <w:keepNext/>
        <w:spacing w:before="240" w:after="240"/>
        <w:ind w:left="851" w:hanging="851"/>
        <w:outlineLvl w:val="2"/>
        <w:rPr>
          <w:b/>
          <w:bCs/>
          <w:lang w:eastAsia="en-AU" w:bidi="ar-SA"/>
        </w:rPr>
      </w:pPr>
      <w:bookmarkStart w:id="106" w:name="_Toc300761901"/>
      <w:bookmarkStart w:id="107" w:name="_Toc300933444"/>
      <w:bookmarkStart w:id="108" w:name="_Toc370223480"/>
      <w:bookmarkStart w:id="109" w:name="_Toc370225395"/>
      <w:r w:rsidRPr="00B525BA">
        <w:rPr>
          <w:b/>
          <w:bCs/>
          <w:lang w:eastAsia="en-AU" w:bidi="ar-SA"/>
        </w:rPr>
        <w:lastRenderedPageBreak/>
        <w:t>2.5.3</w:t>
      </w:r>
      <w:r w:rsidRPr="00B525BA">
        <w:rPr>
          <w:b/>
          <w:bCs/>
          <w:lang w:eastAsia="en-AU" w:bidi="ar-SA"/>
        </w:rPr>
        <w:tab/>
        <w:t xml:space="preserve">Subsection 18(2) </w:t>
      </w:r>
      <w:bookmarkEnd w:id="106"/>
      <w:bookmarkEnd w:id="107"/>
      <w:r w:rsidRPr="002C1A3B">
        <w:rPr>
          <w:b/>
          <w:bCs/>
          <w:lang w:eastAsia="en-AU" w:bidi="ar-SA"/>
        </w:rPr>
        <w:t>considerations</w:t>
      </w:r>
      <w:bookmarkEnd w:id="108"/>
      <w:bookmarkEnd w:id="109"/>
    </w:p>
    <w:p w14:paraId="59B194BF" w14:textId="77777777" w:rsidR="002C1A3B" w:rsidRPr="002C1A3B" w:rsidRDefault="002C1A3B" w:rsidP="002C1A3B">
      <w:pPr>
        <w:rPr>
          <w:rFonts w:cs="Arial"/>
        </w:rPr>
      </w:pPr>
      <w:r w:rsidRPr="002C1A3B">
        <w:rPr>
          <w:rFonts w:cs="Arial"/>
        </w:rPr>
        <w:t>FSANZ has also had regard to:</w:t>
      </w:r>
    </w:p>
    <w:p w14:paraId="0CA45475" w14:textId="77777777" w:rsidR="002C1A3B" w:rsidRPr="002C1A3B" w:rsidRDefault="002C1A3B" w:rsidP="002C1A3B">
      <w:pPr>
        <w:rPr>
          <w:rFonts w:cs="Arial"/>
        </w:rPr>
      </w:pPr>
    </w:p>
    <w:p w14:paraId="1748C3A7" w14:textId="77777777" w:rsidR="002C1A3B" w:rsidRPr="00D4506E" w:rsidRDefault="002C1A3B" w:rsidP="002C1A3B">
      <w:pPr>
        <w:pStyle w:val="FSBullet1"/>
        <w:rPr>
          <w:b/>
        </w:rPr>
      </w:pPr>
      <w:r w:rsidRPr="002C1A3B">
        <w:rPr>
          <w:b/>
        </w:rPr>
        <w:t xml:space="preserve">the need for standards to be based on risk analysis using the best available scientific </w:t>
      </w:r>
      <w:r w:rsidRPr="00D4506E">
        <w:rPr>
          <w:b/>
        </w:rPr>
        <w:t>evidence</w:t>
      </w:r>
    </w:p>
    <w:p w14:paraId="5D86AB84" w14:textId="77777777" w:rsidR="002C1A3B" w:rsidRPr="00D4506E" w:rsidRDefault="002C1A3B" w:rsidP="002C1A3B">
      <w:pPr>
        <w:rPr>
          <w:lang w:bidi="ar-SA"/>
        </w:rPr>
      </w:pPr>
    </w:p>
    <w:p w14:paraId="126EDC98" w14:textId="2DCF7184" w:rsidR="002C1A3B" w:rsidRPr="00D4506E" w:rsidRDefault="00D4506E" w:rsidP="002C1A3B">
      <w:r w:rsidRPr="00D4506E">
        <w:t>FSANZ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42116D70" w14:textId="77777777" w:rsidR="002C1A3B" w:rsidRPr="00D4506E" w:rsidRDefault="002C1A3B" w:rsidP="002C1A3B">
      <w:pPr>
        <w:rPr>
          <w:lang w:bidi="ar-SA"/>
        </w:rPr>
      </w:pPr>
    </w:p>
    <w:p w14:paraId="31A040B3" w14:textId="77777777" w:rsidR="002C1A3B" w:rsidRPr="008343D7" w:rsidRDefault="002C1A3B" w:rsidP="002C1A3B">
      <w:pPr>
        <w:pStyle w:val="FSBullet1"/>
        <w:rPr>
          <w:b/>
        </w:rPr>
      </w:pPr>
      <w:r w:rsidRPr="00D4506E">
        <w:rPr>
          <w:b/>
        </w:rPr>
        <w:t xml:space="preserve">the </w:t>
      </w:r>
      <w:r w:rsidRPr="008343D7">
        <w:rPr>
          <w:b/>
        </w:rPr>
        <w:t>promotion of consistency between domestic and international food standards</w:t>
      </w:r>
    </w:p>
    <w:p w14:paraId="6BDED2CA" w14:textId="77777777" w:rsidR="002C1A3B" w:rsidRPr="008343D7" w:rsidRDefault="002C1A3B" w:rsidP="002C1A3B">
      <w:pPr>
        <w:rPr>
          <w:lang w:bidi="ar-SA"/>
        </w:rPr>
      </w:pPr>
    </w:p>
    <w:p w14:paraId="3300A9E8" w14:textId="590C6653" w:rsidR="008343D7" w:rsidRPr="008343D7" w:rsidRDefault="008343D7" w:rsidP="008343D7">
      <w:r w:rsidRPr="008343D7">
        <w:t xml:space="preserve">As explained in </w:t>
      </w:r>
      <w:r w:rsidR="00F74BD1">
        <w:t>section</w:t>
      </w:r>
      <w:r w:rsidRPr="008343D7">
        <w:t xml:space="preserve"> 1.3.3, pectins and carrageenan are permitted for use as processing aids for wine produced overseas, including New Zealand.</w:t>
      </w:r>
    </w:p>
    <w:p w14:paraId="3B8309DD" w14:textId="77777777" w:rsidR="008343D7" w:rsidRPr="008343D7" w:rsidRDefault="008343D7" w:rsidP="008343D7"/>
    <w:p w14:paraId="2D1E424C" w14:textId="7237C6AA" w:rsidR="008343D7" w:rsidRPr="008343D7" w:rsidRDefault="008343D7" w:rsidP="008343D7">
      <w:r w:rsidRPr="008343D7">
        <w:t xml:space="preserve">However, Australian wine producers must also comply with the Australian wine production standards in the Code. These standards currently prevent the use of pectins and carrageenan as processing aids in Australian produced wine. </w:t>
      </w:r>
    </w:p>
    <w:p w14:paraId="7CE21D5F" w14:textId="77777777" w:rsidR="008343D7" w:rsidRPr="008343D7" w:rsidRDefault="008343D7" w:rsidP="008343D7"/>
    <w:p w14:paraId="5E497F53" w14:textId="5FFAC7E5" w:rsidR="002C1A3B" w:rsidRPr="008343D7" w:rsidRDefault="008343D7" w:rsidP="002C1A3B">
      <w:r w:rsidRPr="008343D7">
        <w:t>This draft variation aligns the Australian wine production standard with respect to pectins and carrageenan as processing aids with that already in the Code for all wines.</w:t>
      </w:r>
    </w:p>
    <w:p w14:paraId="44A67B61" w14:textId="77777777" w:rsidR="002C1A3B" w:rsidRPr="008343D7" w:rsidRDefault="002C1A3B" w:rsidP="002C1A3B">
      <w:pPr>
        <w:rPr>
          <w:lang w:bidi="ar-SA"/>
        </w:rPr>
      </w:pPr>
    </w:p>
    <w:p w14:paraId="41D8051D" w14:textId="77777777" w:rsidR="002C1A3B" w:rsidRPr="00E205F0" w:rsidRDefault="002C1A3B" w:rsidP="002C1A3B">
      <w:pPr>
        <w:pStyle w:val="FSBullet1"/>
        <w:rPr>
          <w:b/>
        </w:rPr>
      </w:pPr>
      <w:r w:rsidRPr="008343D7">
        <w:rPr>
          <w:b/>
        </w:rPr>
        <w:t xml:space="preserve">the </w:t>
      </w:r>
      <w:r w:rsidRPr="00E205F0">
        <w:rPr>
          <w:b/>
        </w:rPr>
        <w:t>desirability of an efficient and internationally competitive food industry</w:t>
      </w:r>
    </w:p>
    <w:p w14:paraId="17491150" w14:textId="77777777" w:rsidR="002C1A3B" w:rsidRPr="00E205F0" w:rsidRDefault="002C1A3B" w:rsidP="002C1A3B">
      <w:pPr>
        <w:rPr>
          <w:lang w:bidi="ar-SA"/>
        </w:rPr>
      </w:pPr>
    </w:p>
    <w:p w14:paraId="440E0F64" w14:textId="3C4E8AB9" w:rsidR="00E205F0" w:rsidRPr="00E205F0" w:rsidRDefault="00E205F0" w:rsidP="00E205F0">
      <w:r w:rsidRPr="00E205F0">
        <w:t>The proposed variation will align Australian wine production standards with international or overseas standards and enable Australian wine producers to use a wider range of fining agents.</w:t>
      </w:r>
    </w:p>
    <w:p w14:paraId="6A715946" w14:textId="77777777" w:rsidR="00E205F0" w:rsidRPr="00E205F0" w:rsidRDefault="00E205F0" w:rsidP="00E205F0"/>
    <w:p w14:paraId="6929F37D" w14:textId="11423906" w:rsidR="002C1A3B" w:rsidRPr="00E205F0" w:rsidRDefault="00E205F0" w:rsidP="002C1A3B">
      <w:r w:rsidRPr="00E205F0">
        <w:t>Permission to use pectins and carrageenan as fining agents for wine production provides the wine industry with alternatives to the current approach of using bentonite, with potential for improved wine quality. Individual wineries will make commercial decisions on which approach is best for their products.</w:t>
      </w:r>
    </w:p>
    <w:p w14:paraId="096F02EA" w14:textId="77777777" w:rsidR="002C1A3B" w:rsidRPr="00E205F0" w:rsidRDefault="002C1A3B" w:rsidP="002C1A3B">
      <w:pPr>
        <w:rPr>
          <w:lang w:bidi="ar-SA"/>
        </w:rPr>
      </w:pPr>
    </w:p>
    <w:p w14:paraId="02CF9232" w14:textId="77777777" w:rsidR="002C1A3B" w:rsidRPr="00E205F0" w:rsidRDefault="002C1A3B" w:rsidP="002C1A3B">
      <w:pPr>
        <w:pStyle w:val="FSBullet1"/>
        <w:rPr>
          <w:b/>
        </w:rPr>
      </w:pPr>
      <w:r w:rsidRPr="00E205F0">
        <w:rPr>
          <w:b/>
        </w:rPr>
        <w:t>the promotion of fair trading in food</w:t>
      </w:r>
    </w:p>
    <w:p w14:paraId="70282AB4" w14:textId="77777777" w:rsidR="002C1A3B" w:rsidRPr="00E205F0" w:rsidRDefault="002C1A3B" w:rsidP="002C1A3B">
      <w:pPr>
        <w:rPr>
          <w:lang w:bidi="ar-SA"/>
        </w:rPr>
      </w:pPr>
    </w:p>
    <w:p w14:paraId="414E269A" w14:textId="5D17FBC5" w:rsidR="00E205F0" w:rsidRPr="00E205F0" w:rsidRDefault="00E205F0" w:rsidP="00E205F0">
      <w:r w:rsidRPr="00E205F0">
        <w:t>No issues were identified for this Application relevant to this objective.</w:t>
      </w:r>
    </w:p>
    <w:p w14:paraId="72A6106D" w14:textId="77777777" w:rsidR="002C1A3B" w:rsidRPr="00E205F0" w:rsidRDefault="002C1A3B" w:rsidP="002C1A3B">
      <w:pPr>
        <w:rPr>
          <w:lang w:bidi="ar-SA"/>
        </w:rPr>
      </w:pPr>
    </w:p>
    <w:p w14:paraId="67D11025" w14:textId="77777777" w:rsidR="002C1A3B" w:rsidRPr="002C1A3B" w:rsidRDefault="002C1A3B" w:rsidP="00BE1605">
      <w:pPr>
        <w:pStyle w:val="FSBullet1"/>
        <w:keepNext/>
        <w:rPr>
          <w:b/>
        </w:rPr>
      </w:pPr>
      <w:r w:rsidRPr="00E205F0">
        <w:rPr>
          <w:b/>
        </w:rPr>
        <w:t xml:space="preserve">any written policy guidelines </w:t>
      </w:r>
      <w:r w:rsidRPr="002C1A3B">
        <w:rPr>
          <w:b/>
        </w:rPr>
        <w:t xml:space="preserve">formulated by the </w:t>
      </w:r>
      <w:r w:rsidR="00EA2226">
        <w:rPr>
          <w:b/>
        </w:rPr>
        <w:t>Forum on Food Regulation</w:t>
      </w:r>
    </w:p>
    <w:p w14:paraId="5A6540AB" w14:textId="77777777" w:rsidR="002C1A3B" w:rsidRPr="002C1A3B" w:rsidRDefault="002C1A3B" w:rsidP="00BE1605">
      <w:pPr>
        <w:keepNext/>
        <w:rPr>
          <w:lang w:bidi="ar-SA"/>
        </w:rPr>
      </w:pPr>
    </w:p>
    <w:p w14:paraId="3B36E13B" w14:textId="1FE23594" w:rsidR="00234FC6" w:rsidRPr="00234FC6" w:rsidRDefault="00234FC6" w:rsidP="00234FC6">
      <w:r w:rsidRPr="00234FC6">
        <w:t xml:space="preserve">The Policy Guideline on the </w:t>
      </w:r>
      <w:hyperlink r:id="rId19" w:history="1">
        <w:r w:rsidRPr="00234FC6">
          <w:rPr>
            <w:rStyle w:val="Hyperlink"/>
          </w:rPr>
          <w:t>Addition to Food of Substances other than Vitamins and Minerals</w:t>
        </w:r>
      </w:hyperlink>
      <w:r w:rsidR="00012C28">
        <w:rPr>
          <w:rStyle w:val="Hyperlink"/>
        </w:rPr>
        <w:t xml:space="preserve"> </w:t>
      </w:r>
      <w:r w:rsidRPr="00234FC6">
        <w:t>includes specific order pol</w:t>
      </w:r>
      <w:bookmarkStart w:id="110" w:name="_GoBack"/>
      <w:bookmarkEnd w:id="110"/>
      <w:r w:rsidRPr="00234FC6">
        <w:t>icy principles for substances added to achieve a solely technological function, such as processing aids. These specific order policy principles state that permission should be granted where:</w:t>
      </w:r>
    </w:p>
    <w:p w14:paraId="436B783D" w14:textId="77777777" w:rsidR="00234FC6" w:rsidRPr="00234FC6" w:rsidRDefault="00234FC6" w:rsidP="00234FC6"/>
    <w:p w14:paraId="0CF093E8" w14:textId="77777777" w:rsidR="00234FC6" w:rsidRPr="00234FC6" w:rsidRDefault="00234FC6" w:rsidP="00234FC6">
      <w:pPr>
        <w:pStyle w:val="FSBullet1"/>
      </w:pPr>
      <w:r w:rsidRPr="00234FC6">
        <w:t>the purpose for adding the substance can be articulated clearly by the manufacturer as achieving a solely technological function (i.e. the ‘stated purpose’)</w:t>
      </w:r>
    </w:p>
    <w:p w14:paraId="0466D34C" w14:textId="77777777" w:rsidR="00234FC6" w:rsidRPr="00234FC6" w:rsidRDefault="00234FC6" w:rsidP="00234FC6">
      <w:pPr>
        <w:pStyle w:val="FSBullet1"/>
      </w:pPr>
      <w:r w:rsidRPr="00234FC6">
        <w:t>the addition of the substance to food is safe for human consumption</w:t>
      </w:r>
    </w:p>
    <w:p w14:paraId="77C4BDEF" w14:textId="77777777" w:rsidR="00234FC6" w:rsidRPr="00234FC6" w:rsidRDefault="00234FC6" w:rsidP="00234FC6">
      <w:pPr>
        <w:pStyle w:val="FSBullet1"/>
      </w:pPr>
      <w:r w:rsidRPr="00234FC6">
        <w:t>the amounts added are consistent with achieving the technological function</w:t>
      </w:r>
    </w:p>
    <w:p w14:paraId="51B763EC" w14:textId="77777777" w:rsidR="00234FC6" w:rsidRPr="00234FC6" w:rsidRDefault="00234FC6" w:rsidP="00234FC6">
      <w:pPr>
        <w:pStyle w:val="FSBullet1"/>
      </w:pPr>
      <w:r w:rsidRPr="00234FC6">
        <w:t>the substance is added in a quantity and a form which is consistent with delivering the stated purpose</w:t>
      </w:r>
    </w:p>
    <w:p w14:paraId="0381365F" w14:textId="4C30804C" w:rsidR="00012C28" w:rsidRDefault="00234FC6" w:rsidP="00234FC6">
      <w:pPr>
        <w:pStyle w:val="FSBullet1"/>
      </w:pPr>
      <w:r w:rsidRPr="00234FC6">
        <w:t>no nutrition, health or related claims are to be made in regard to the substance.</w:t>
      </w:r>
      <w:r w:rsidR="00012C28">
        <w:br w:type="page"/>
      </w:r>
    </w:p>
    <w:p w14:paraId="76DA413F" w14:textId="0D81DE9B" w:rsidR="001122EC" w:rsidRPr="00810000" w:rsidRDefault="00234FC6" w:rsidP="001122EC">
      <w:pPr>
        <w:rPr>
          <w:rFonts w:cs="Arial"/>
        </w:rPr>
      </w:pPr>
      <w:r w:rsidRPr="00234FC6">
        <w:lastRenderedPageBreak/>
        <w:t xml:space="preserve">FSANZ has determined that permitting pectins and carrageenan as processing aids (fining </w:t>
      </w:r>
      <w:r w:rsidRPr="00810000">
        <w:t>agents) during wine production is consistent with these specific order policy principles.</w:t>
      </w:r>
      <w:bookmarkStart w:id="111" w:name="_Toc11735643"/>
      <w:bookmarkStart w:id="112" w:name="_Toc29883130"/>
      <w:bookmarkStart w:id="113" w:name="_Toc41906817"/>
      <w:bookmarkStart w:id="114" w:name="_Toc41907564"/>
      <w:bookmarkStart w:id="115" w:name="_Toc43112360"/>
      <w:bookmarkEnd w:id="90"/>
    </w:p>
    <w:p w14:paraId="2E06033A" w14:textId="77777777" w:rsidR="0012388D" w:rsidRDefault="00D15A08" w:rsidP="006C22A7">
      <w:pPr>
        <w:spacing w:before="240"/>
        <w:rPr>
          <w:b/>
          <w:sz w:val="28"/>
          <w:szCs w:val="28"/>
        </w:rPr>
      </w:pPr>
      <w:r w:rsidRPr="006C22A7">
        <w:rPr>
          <w:b/>
          <w:sz w:val="28"/>
          <w:szCs w:val="28"/>
        </w:rPr>
        <w:t>A</w:t>
      </w:r>
      <w:bookmarkEnd w:id="111"/>
      <w:bookmarkEnd w:id="112"/>
      <w:bookmarkEnd w:id="113"/>
      <w:bookmarkEnd w:id="114"/>
      <w:bookmarkEnd w:id="115"/>
      <w:r w:rsidR="00B21055">
        <w:rPr>
          <w:b/>
          <w:sz w:val="28"/>
          <w:szCs w:val="28"/>
        </w:rPr>
        <w:t>ttachments</w:t>
      </w:r>
    </w:p>
    <w:p w14:paraId="37B68CEE" w14:textId="77777777" w:rsidR="006C22A7" w:rsidRDefault="006C22A7" w:rsidP="00755F02"/>
    <w:p w14:paraId="71495D86" w14:textId="7FAF26E7"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614A8D78" w14:textId="494419E9" w:rsidR="003C4969" w:rsidRPr="00810000" w:rsidRDefault="00456BD5" w:rsidP="00810000">
      <w:pPr>
        <w:ind w:left="567" w:hanging="567"/>
      </w:pPr>
      <w:r w:rsidRPr="00456BD5">
        <w:t>B</w:t>
      </w:r>
      <w:r w:rsidR="00755F02" w:rsidRPr="00456BD5">
        <w:t>.</w:t>
      </w:r>
      <w:r w:rsidR="00755F02" w:rsidRPr="00456BD5">
        <w:tab/>
      </w:r>
      <w:r>
        <w:t xml:space="preserve">Explanatory Statement </w:t>
      </w:r>
    </w:p>
    <w:p w14:paraId="042231CE" w14:textId="5754FF5D" w:rsidR="00456BD5" w:rsidRPr="00456BD5" w:rsidRDefault="003C4969" w:rsidP="00456BD5">
      <w:pPr>
        <w:pStyle w:val="Heading2"/>
        <w:ind w:left="0" w:firstLine="0"/>
      </w:pPr>
      <w:r w:rsidRPr="00932F14">
        <w:br w:type="page"/>
      </w:r>
      <w:bookmarkStart w:id="116" w:name="_Toc29883131"/>
      <w:bookmarkStart w:id="117" w:name="_Toc41906818"/>
      <w:bookmarkStart w:id="118" w:name="_Toc41907565"/>
      <w:bookmarkStart w:id="119" w:name="_Toc120358596"/>
      <w:bookmarkStart w:id="120" w:name="_Toc175381458"/>
      <w:bookmarkStart w:id="121" w:name="_Toc11735644"/>
      <w:bookmarkStart w:id="122" w:name="_Toc481153342"/>
      <w:r w:rsidRPr="00932F14">
        <w:lastRenderedPageBreak/>
        <w:t xml:space="preserve">Attachment </w:t>
      </w:r>
      <w:bookmarkEnd w:id="116"/>
      <w:bookmarkEnd w:id="117"/>
      <w:bookmarkEnd w:id="118"/>
      <w:bookmarkEnd w:id="119"/>
      <w:bookmarkEnd w:id="120"/>
      <w:r w:rsidR="00456B54">
        <w:t>A</w:t>
      </w:r>
      <w:bookmarkStart w:id="123" w:name="_Toc120358597"/>
      <w:bookmarkStart w:id="124" w:name="_Toc175381459"/>
      <w:bookmarkEnd w:id="121"/>
      <w:r w:rsidR="00755F02">
        <w:t xml:space="preserve"> –</w:t>
      </w:r>
      <w:bookmarkStart w:id="125" w:name="_Toc120358598"/>
      <w:bookmarkStart w:id="126" w:name="_Toc175381460"/>
      <w:bookmarkEnd w:id="123"/>
      <w:bookmarkEnd w:id="12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2"/>
      <w:r w:rsidR="00456BD5">
        <w:rPr>
          <w:i/>
        </w:rPr>
        <w:t xml:space="preserve"> </w:t>
      </w:r>
    </w:p>
    <w:p w14:paraId="79C5CE23" w14:textId="77777777" w:rsidR="00DA3B93" w:rsidRPr="004877BC" w:rsidRDefault="00DA3B93" w:rsidP="00DA3B93">
      <w:pPr>
        <w:tabs>
          <w:tab w:val="left" w:pos="851"/>
        </w:tabs>
        <w:rPr>
          <w:noProof/>
          <w:sz w:val="20"/>
          <w:szCs w:val="20"/>
          <w:lang w:val="en-AU" w:eastAsia="en-AU" w:bidi="ar-SA"/>
        </w:rPr>
      </w:pPr>
      <w:r w:rsidRPr="004877BC">
        <w:rPr>
          <w:noProof/>
          <w:sz w:val="20"/>
          <w:szCs w:val="20"/>
          <w:lang w:eastAsia="en-GB" w:bidi="ar-SA"/>
        </w:rPr>
        <w:drawing>
          <wp:inline distT="0" distB="0" distL="0" distR="0" wp14:anchorId="56A1DF71" wp14:editId="1B05C6C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481FDC4" w14:textId="77777777" w:rsidR="00DA3B93" w:rsidRPr="004877BC" w:rsidRDefault="00DA3B93" w:rsidP="00DA3B93">
      <w:pPr>
        <w:pBdr>
          <w:bottom w:val="single" w:sz="4" w:space="1" w:color="auto"/>
        </w:pBdr>
        <w:tabs>
          <w:tab w:val="left" w:pos="851"/>
        </w:tabs>
        <w:rPr>
          <w:b/>
          <w:bCs/>
          <w:szCs w:val="20"/>
          <w:lang w:bidi="ar-SA"/>
        </w:rPr>
      </w:pPr>
    </w:p>
    <w:p w14:paraId="79F11527" w14:textId="77777777" w:rsidR="00DA3B93" w:rsidRPr="004877BC" w:rsidRDefault="00DA3B93" w:rsidP="00DA3B93">
      <w:pPr>
        <w:pBdr>
          <w:bottom w:val="single" w:sz="4" w:space="1" w:color="auto"/>
        </w:pBdr>
        <w:tabs>
          <w:tab w:val="left" w:pos="851"/>
        </w:tabs>
        <w:rPr>
          <w:b/>
          <w:sz w:val="20"/>
          <w:szCs w:val="20"/>
          <w:lang w:bidi="ar-SA"/>
        </w:rPr>
      </w:pPr>
      <w:r w:rsidRPr="004877BC">
        <w:rPr>
          <w:b/>
          <w:sz w:val="20"/>
          <w:szCs w:val="20"/>
          <w:lang w:bidi="ar-SA"/>
        </w:rPr>
        <w:t>Food Standards (Application A1126</w:t>
      </w:r>
      <w:r>
        <w:rPr>
          <w:b/>
          <w:sz w:val="20"/>
          <w:szCs w:val="20"/>
          <w:lang w:bidi="ar-SA"/>
        </w:rPr>
        <w:t xml:space="preserve"> </w:t>
      </w:r>
      <w:r w:rsidRPr="004877BC">
        <w:rPr>
          <w:b/>
          <w:sz w:val="20"/>
          <w:szCs w:val="20"/>
          <w:lang w:bidi="ar-SA"/>
        </w:rPr>
        <w:t>– Pectins &amp; Carrageenan as Processing Aids in Wine (Fining Agent)) Variation</w:t>
      </w:r>
    </w:p>
    <w:p w14:paraId="30C567EA" w14:textId="77777777" w:rsidR="00DA3B93" w:rsidRPr="004877BC" w:rsidRDefault="00DA3B93" w:rsidP="00DA3B93">
      <w:pPr>
        <w:pBdr>
          <w:bottom w:val="single" w:sz="4" w:space="1" w:color="auto"/>
        </w:pBdr>
        <w:tabs>
          <w:tab w:val="left" w:pos="851"/>
        </w:tabs>
        <w:rPr>
          <w:b/>
          <w:sz w:val="20"/>
          <w:szCs w:val="20"/>
          <w:lang w:bidi="ar-SA"/>
        </w:rPr>
      </w:pPr>
    </w:p>
    <w:p w14:paraId="20304178" w14:textId="77777777" w:rsidR="00DA3B93" w:rsidRPr="004877BC" w:rsidRDefault="00DA3B93" w:rsidP="00DA3B93">
      <w:pPr>
        <w:tabs>
          <w:tab w:val="left" w:pos="851"/>
        </w:tabs>
        <w:rPr>
          <w:sz w:val="20"/>
          <w:szCs w:val="20"/>
          <w:lang w:bidi="ar-SA"/>
        </w:rPr>
      </w:pPr>
    </w:p>
    <w:p w14:paraId="764C5AAD" w14:textId="77777777" w:rsidR="00DA3B93" w:rsidRPr="004877BC" w:rsidRDefault="00DA3B93" w:rsidP="00DA3B93">
      <w:pPr>
        <w:tabs>
          <w:tab w:val="left" w:pos="851"/>
        </w:tabs>
        <w:rPr>
          <w:sz w:val="20"/>
          <w:szCs w:val="20"/>
          <w:lang w:bidi="ar-SA"/>
        </w:rPr>
      </w:pPr>
      <w:r w:rsidRPr="004877BC">
        <w:rPr>
          <w:sz w:val="20"/>
          <w:szCs w:val="20"/>
          <w:lang w:bidi="ar-SA"/>
        </w:rPr>
        <w:t xml:space="preserve">The Board of Food Standards Australia New Zealand gives notice of the making of this variation under section 92 of the </w:t>
      </w:r>
      <w:r w:rsidRPr="004877BC">
        <w:rPr>
          <w:i/>
          <w:sz w:val="20"/>
          <w:szCs w:val="20"/>
          <w:lang w:bidi="ar-SA"/>
        </w:rPr>
        <w:t>Food Standards Australia New Zealand Act 1991</w:t>
      </w:r>
      <w:r w:rsidRPr="004877BC">
        <w:rPr>
          <w:sz w:val="20"/>
          <w:szCs w:val="20"/>
          <w:lang w:bidi="ar-SA"/>
        </w:rPr>
        <w:t>.  The variation commences on the date specified in clause 3 of this variation.</w:t>
      </w:r>
    </w:p>
    <w:p w14:paraId="6A3FA6FD" w14:textId="77777777" w:rsidR="00DA3B93" w:rsidRPr="004877BC" w:rsidRDefault="00DA3B93" w:rsidP="00DA3B93">
      <w:pPr>
        <w:tabs>
          <w:tab w:val="left" w:pos="851"/>
        </w:tabs>
        <w:rPr>
          <w:sz w:val="20"/>
          <w:szCs w:val="20"/>
          <w:lang w:bidi="ar-SA"/>
        </w:rPr>
      </w:pPr>
    </w:p>
    <w:p w14:paraId="26F639C3" w14:textId="77777777" w:rsidR="00DA3B93" w:rsidRPr="004877BC" w:rsidRDefault="00DA3B93" w:rsidP="00DA3B93">
      <w:pPr>
        <w:tabs>
          <w:tab w:val="left" w:pos="851"/>
        </w:tabs>
        <w:rPr>
          <w:sz w:val="20"/>
          <w:szCs w:val="20"/>
          <w:lang w:bidi="ar-SA"/>
        </w:rPr>
      </w:pPr>
      <w:r w:rsidRPr="004877BC">
        <w:rPr>
          <w:sz w:val="20"/>
          <w:szCs w:val="20"/>
          <w:lang w:bidi="ar-SA"/>
        </w:rPr>
        <w:t>Dated [To be completed by Standards Management Officer]</w:t>
      </w:r>
    </w:p>
    <w:p w14:paraId="4F12BF5C" w14:textId="77777777" w:rsidR="00DA3B93" w:rsidRPr="004877BC" w:rsidRDefault="00DA3B93" w:rsidP="00DA3B93">
      <w:pPr>
        <w:tabs>
          <w:tab w:val="left" w:pos="851"/>
        </w:tabs>
        <w:rPr>
          <w:sz w:val="20"/>
          <w:szCs w:val="20"/>
          <w:lang w:bidi="ar-SA"/>
        </w:rPr>
      </w:pPr>
    </w:p>
    <w:p w14:paraId="1D441E3E" w14:textId="77777777" w:rsidR="00DA3B93" w:rsidRPr="004877BC" w:rsidRDefault="00DA3B93" w:rsidP="00DA3B93">
      <w:pPr>
        <w:tabs>
          <w:tab w:val="left" w:pos="851"/>
        </w:tabs>
        <w:rPr>
          <w:sz w:val="20"/>
          <w:szCs w:val="20"/>
          <w:lang w:bidi="ar-SA"/>
        </w:rPr>
      </w:pPr>
    </w:p>
    <w:p w14:paraId="5948E0A0" w14:textId="77777777" w:rsidR="00DA3B93" w:rsidRPr="004877BC" w:rsidRDefault="00DA3B93" w:rsidP="00DA3B93">
      <w:pPr>
        <w:tabs>
          <w:tab w:val="left" w:pos="851"/>
        </w:tabs>
        <w:rPr>
          <w:sz w:val="20"/>
          <w:szCs w:val="20"/>
          <w:lang w:bidi="ar-SA"/>
        </w:rPr>
      </w:pPr>
    </w:p>
    <w:p w14:paraId="5BDE4B7D" w14:textId="77777777" w:rsidR="00DA3B93" w:rsidRPr="004877BC" w:rsidRDefault="00DA3B93" w:rsidP="00DA3B93">
      <w:pPr>
        <w:tabs>
          <w:tab w:val="left" w:pos="851"/>
        </w:tabs>
        <w:rPr>
          <w:sz w:val="20"/>
          <w:szCs w:val="20"/>
          <w:lang w:bidi="ar-SA"/>
        </w:rPr>
      </w:pPr>
    </w:p>
    <w:p w14:paraId="7A02F3CA" w14:textId="77777777" w:rsidR="00DA3B93" w:rsidRPr="004877BC" w:rsidRDefault="00DA3B93" w:rsidP="00DA3B93">
      <w:pPr>
        <w:tabs>
          <w:tab w:val="left" w:pos="851"/>
        </w:tabs>
        <w:rPr>
          <w:sz w:val="20"/>
          <w:szCs w:val="20"/>
          <w:lang w:bidi="ar-SA"/>
        </w:rPr>
      </w:pPr>
    </w:p>
    <w:p w14:paraId="5E4F9679" w14:textId="77777777" w:rsidR="00DA3B93" w:rsidRPr="004877BC" w:rsidRDefault="00DA3B93" w:rsidP="00DA3B93">
      <w:pPr>
        <w:tabs>
          <w:tab w:val="left" w:pos="851"/>
        </w:tabs>
        <w:rPr>
          <w:sz w:val="20"/>
          <w:szCs w:val="20"/>
          <w:lang w:bidi="ar-SA"/>
        </w:rPr>
      </w:pPr>
      <w:r w:rsidRPr="004877BC">
        <w:rPr>
          <w:sz w:val="20"/>
          <w:szCs w:val="20"/>
          <w:lang w:bidi="ar-SA"/>
        </w:rPr>
        <w:t>Standards Management Officer</w:t>
      </w:r>
    </w:p>
    <w:p w14:paraId="2E4C972B" w14:textId="77777777" w:rsidR="00DA3B93" w:rsidRPr="004877BC" w:rsidRDefault="00DA3B93" w:rsidP="00DA3B93">
      <w:pPr>
        <w:tabs>
          <w:tab w:val="left" w:pos="851"/>
        </w:tabs>
        <w:rPr>
          <w:sz w:val="20"/>
          <w:szCs w:val="20"/>
          <w:lang w:bidi="ar-SA"/>
        </w:rPr>
      </w:pPr>
      <w:r w:rsidRPr="004877BC">
        <w:rPr>
          <w:sz w:val="20"/>
          <w:szCs w:val="20"/>
          <w:lang w:bidi="ar-SA"/>
        </w:rPr>
        <w:t>Delegate of the Board of Food Standards Australia New Zealand</w:t>
      </w:r>
    </w:p>
    <w:p w14:paraId="4B502616" w14:textId="77777777" w:rsidR="00DA3B93" w:rsidRPr="004877BC" w:rsidRDefault="00DA3B93" w:rsidP="00DA3B93">
      <w:pPr>
        <w:tabs>
          <w:tab w:val="left" w:pos="851"/>
        </w:tabs>
        <w:rPr>
          <w:sz w:val="20"/>
          <w:szCs w:val="20"/>
          <w:lang w:bidi="ar-SA"/>
        </w:rPr>
      </w:pPr>
    </w:p>
    <w:p w14:paraId="5CD1EF2F" w14:textId="77777777" w:rsidR="00DA3B93" w:rsidRPr="004877BC" w:rsidRDefault="00DA3B93" w:rsidP="00DA3B93">
      <w:pPr>
        <w:tabs>
          <w:tab w:val="left" w:pos="851"/>
        </w:tabs>
        <w:rPr>
          <w:sz w:val="20"/>
          <w:szCs w:val="20"/>
          <w:lang w:bidi="ar-SA"/>
        </w:rPr>
      </w:pPr>
    </w:p>
    <w:p w14:paraId="7CD1CC11" w14:textId="77777777" w:rsidR="00DA3B93" w:rsidRPr="004877BC" w:rsidRDefault="00DA3B93" w:rsidP="00DA3B93">
      <w:pPr>
        <w:tabs>
          <w:tab w:val="left" w:pos="851"/>
        </w:tabs>
        <w:rPr>
          <w:sz w:val="20"/>
          <w:szCs w:val="20"/>
          <w:lang w:bidi="ar-SA"/>
        </w:rPr>
      </w:pPr>
    </w:p>
    <w:p w14:paraId="178E9AE5" w14:textId="77777777" w:rsidR="00DA3B93" w:rsidRPr="004877BC" w:rsidRDefault="00DA3B93" w:rsidP="00DA3B93">
      <w:pPr>
        <w:tabs>
          <w:tab w:val="left" w:pos="851"/>
        </w:tabs>
        <w:rPr>
          <w:sz w:val="20"/>
          <w:szCs w:val="20"/>
          <w:lang w:bidi="ar-SA"/>
        </w:rPr>
      </w:pPr>
    </w:p>
    <w:p w14:paraId="54D8FA43" w14:textId="77777777" w:rsidR="00DA3B93" w:rsidRPr="004877BC" w:rsidRDefault="00DA3B93" w:rsidP="00DA3B93">
      <w:pPr>
        <w:tabs>
          <w:tab w:val="left" w:pos="851"/>
        </w:tabs>
        <w:rPr>
          <w:sz w:val="20"/>
          <w:szCs w:val="20"/>
          <w:lang w:bidi="ar-SA"/>
        </w:rPr>
      </w:pPr>
    </w:p>
    <w:p w14:paraId="2305C996" w14:textId="77777777" w:rsidR="00DA3B93" w:rsidRPr="004877BC" w:rsidRDefault="00DA3B93" w:rsidP="00DA3B93">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4877BC">
        <w:rPr>
          <w:b/>
          <w:sz w:val="20"/>
          <w:szCs w:val="20"/>
          <w:lang w:val="en-AU" w:bidi="ar-SA"/>
        </w:rPr>
        <w:t xml:space="preserve">Note:  </w:t>
      </w:r>
    </w:p>
    <w:p w14:paraId="301352E4" w14:textId="77777777" w:rsidR="00DA3B93" w:rsidRPr="004877BC" w:rsidRDefault="00DA3B93" w:rsidP="00DA3B9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05FAEAC" w14:textId="77777777" w:rsidR="00DA3B93" w:rsidRPr="004877BC" w:rsidRDefault="00DA3B93" w:rsidP="00DA3B9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4877BC">
        <w:rPr>
          <w:sz w:val="20"/>
          <w:szCs w:val="20"/>
          <w:lang w:val="en-AU" w:bidi="ar-SA"/>
        </w:rPr>
        <w:t xml:space="preserve">This variation will be published in the Commonwealth of Australia Gazette No. FSC </w:t>
      </w:r>
      <w:r w:rsidRPr="004877BC">
        <w:rPr>
          <w:color w:val="FF0000"/>
          <w:sz w:val="20"/>
          <w:szCs w:val="20"/>
          <w:lang w:val="en-AU" w:bidi="ar-SA"/>
        </w:rPr>
        <w:t>XX on XX Month 20XX</w:t>
      </w:r>
      <w:r w:rsidRPr="004877BC">
        <w:rPr>
          <w:sz w:val="20"/>
          <w:szCs w:val="20"/>
          <w:lang w:val="en-AU" w:bidi="ar-SA"/>
        </w:rPr>
        <w:t xml:space="preserve">. This means that this date is the gazettal date for the purposes of clause 3 of the variation. </w:t>
      </w:r>
    </w:p>
    <w:p w14:paraId="21BCDF04" w14:textId="77777777" w:rsidR="00DA3B93" w:rsidRPr="004877BC" w:rsidRDefault="00DA3B93" w:rsidP="00DA3B93">
      <w:pPr>
        <w:tabs>
          <w:tab w:val="left" w:pos="851"/>
        </w:tabs>
        <w:rPr>
          <w:sz w:val="20"/>
          <w:szCs w:val="20"/>
          <w:lang w:bidi="ar-SA"/>
        </w:rPr>
      </w:pPr>
    </w:p>
    <w:p w14:paraId="65C470E5" w14:textId="77777777" w:rsidR="00DA3B93" w:rsidRPr="004877BC" w:rsidRDefault="00DA3B93" w:rsidP="00DA3B93">
      <w:pPr>
        <w:widowControl/>
        <w:rPr>
          <w:sz w:val="20"/>
          <w:szCs w:val="20"/>
          <w:lang w:bidi="ar-SA"/>
        </w:rPr>
      </w:pPr>
      <w:r w:rsidRPr="004877BC">
        <w:rPr>
          <w:sz w:val="20"/>
          <w:szCs w:val="20"/>
          <w:lang w:bidi="ar-SA"/>
        </w:rPr>
        <w:br w:type="page"/>
      </w:r>
    </w:p>
    <w:p w14:paraId="3C2BF63B" w14:textId="77777777" w:rsidR="00DA3B93" w:rsidRPr="004877BC" w:rsidRDefault="00DA3B93" w:rsidP="00DA3B93">
      <w:pPr>
        <w:spacing w:before="120" w:after="120"/>
        <w:ind w:left="851" w:hanging="851"/>
        <w:rPr>
          <w:b/>
          <w:sz w:val="20"/>
          <w:szCs w:val="20"/>
          <w:lang w:bidi="ar-SA"/>
        </w:rPr>
      </w:pPr>
      <w:r w:rsidRPr="004877BC">
        <w:rPr>
          <w:b/>
          <w:sz w:val="20"/>
          <w:szCs w:val="20"/>
          <w:lang w:bidi="ar-SA"/>
        </w:rPr>
        <w:lastRenderedPageBreak/>
        <w:t>1</w:t>
      </w:r>
      <w:r w:rsidRPr="004877BC">
        <w:rPr>
          <w:b/>
          <w:sz w:val="20"/>
          <w:szCs w:val="20"/>
          <w:lang w:bidi="ar-SA"/>
        </w:rPr>
        <w:tab/>
        <w:t>Name</w:t>
      </w:r>
    </w:p>
    <w:p w14:paraId="7D9204A1" w14:textId="77777777" w:rsidR="00DA3B93" w:rsidRPr="004877BC" w:rsidRDefault="00DA3B93" w:rsidP="00DA3B93">
      <w:pPr>
        <w:widowControl/>
        <w:tabs>
          <w:tab w:val="left" w:pos="851"/>
        </w:tabs>
        <w:spacing w:before="120" w:after="120"/>
        <w:rPr>
          <w:sz w:val="20"/>
          <w:szCs w:val="20"/>
          <w:lang w:bidi="ar-SA"/>
        </w:rPr>
      </w:pPr>
      <w:r w:rsidRPr="004877BC">
        <w:rPr>
          <w:sz w:val="20"/>
          <w:szCs w:val="20"/>
          <w:lang w:bidi="ar-SA"/>
        </w:rPr>
        <w:t xml:space="preserve">This instrument is the </w:t>
      </w:r>
      <w:r w:rsidRPr="004877BC">
        <w:rPr>
          <w:i/>
          <w:sz w:val="20"/>
          <w:szCs w:val="20"/>
          <w:lang w:bidi="ar-SA"/>
        </w:rPr>
        <w:t>Food Standards (Application A1126</w:t>
      </w:r>
      <w:r>
        <w:rPr>
          <w:i/>
          <w:sz w:val="20"/>
          <w:szCs w:val="20"/>
          <w:lang w:bidi="ar-SA"/>
        </w:rPr>
        <w:t xml:space="preserve"> </w:t>
      </w:r>
      <w:r w:rsidRPr="004877BC">
        <w:rPr>
          <w:i/>
          <w:sz w:val="20"/>
          <w:szCs w:val="20"/>
          <w:lang w:bidi="ar-SA"/>
        </w:rPr>
        <w:t>–</w:t>
      </w:r>
      <w:r>
        <w:rPr>
          <w:i/>
          <w:sz w:val="20"/>
          <w:szCs w:val="20"/>
          <w:lang w:bidi="ar-SA"/>
        </w:rPr>
        <w:t xml:space="preserve"> </w:t>
      </w:r>
      <w:r w:rsidRPr="004877BC">
        <w:rPr>
          <w:i/>
          <w:sz w:val="20"/>
          <w:szCs w:val="20"/>
          <w:lang w:bidi="ar-SA"/>
        </w:rPr>
        <w:t>Pectins &amp; Carrageenan as Processing Aids in Wine (Fining Agent)) Variation</w:t>
      </w:r>
      <w:r w:rsidRPr="004877BC">
        <w:rPr>
          <w:sz w:val="20"/>
          <w:szCs w:val="20"/>
          <w:lang w:bidi="ar-SA"/>
        </w:rPr>
        <w:t>.</w:t>
      </w:r>
    </w:p>
    <w:p w14:paraId="65C89477" w14:textId="77777777" w:rsidR="00DA3B93" w:rsidRPr="004877BC" w:rsidRDefault="00DA3B93" w:rsidP="00DA3B93">
      <w:pPr>
        <w:spacing w:before="120" w:after="120"/>
        <w:ind w:left="851" w:hanging="851"/>
        <w:rPr>
          <w:b/>
          <w:sz w:val="20"/>
          <w:szCs w:val="20"/>
          <w:lang w:bidi="ar-SA"/>
        </w:rPr>
      </w:pPr>
      <w:r w:rsidRPr="004877BC">
        <w:rPr>
          <w:b/>
          <w:sz w:val="20"/>
          <w:szCs w:val="20"/>
          <w:lang w:bidi="ar-SA"/>
        </w:rPr>
        <w:t>2</w:t>
      </w:r>
      <w:r w:rsidRPr="004877BC">
        <w:rPr>
          <w:b/>
          <w:sz w:val="20"/>
          <w:szCs w:val="20"/>
          <w:lang w:bidi="ar-SA"/>
        </w:rPr>
        <w:tab/>
        <w:t xml:space="preserve">Variation to a standard in the </w:t>
      </w:r>
      <w:r w:rsidRPr="004877BC">
        <w:rPr>
          <w:b/>
          <w:i/>
          <w:sz w:val="20"/>
          <w:szCs w:val="20"/>
          <w:lang w:bidi="ar-SA"/>
        </w:rPr>
        <w:t>Australia New Zealand Food Standards Code</w:t>
      </w:r>
    </w:p>
    <w:p w14:paraId="5AF47C5C" w14:textId="77777777" w:rsidR="00DA3B93" w:rsidRPr="004877BC" w:rsidRDefault="00DA3B93" w:rsidP="00DA3B93">
      <w:pPr>
        <w:widowControl/>
        <w:tabs>
          <w:tab w:val="left" w:pos="851"/>
        </w:tabs>
        <w:spacing w:before="120" w:after="120"/>
        <w:rPr>
          <w:sz w:val="20"/>
          <w:szCs w:val="20"/>
          <w:lang w:bidi="ar-SA"/>
        </w:rPr>
      </w:pPr>
      <w:r w:rsidRPr="004877BC">
        <w:rPr>
          <w:sz w:val="20"/>
          <w:szCs w:val="20"/>
          <w:lang w:bidi="ar-SA"/>
        </w:rPr>
        <w:t xml:space="preserve">The Schedule varies a Standard in the </w:t>
      </w:r>
      <w:r w:rsidRPr="004877BC">
        <w:rPr>
          <w:i/>
          <w:sz w:val="20"/>
          <w:szCs w:val="20"/>
          <w:lang w:bidi="ar-SA"/>
        </w:rPr>
        <w:t>Australia New Zealand Food Standards Code</w:t>
      </w:r>
      <w:r w:rsidRPr="004877BC">
        <w:rPr>
          <w:sz w:val="20"/>
          <w:szCs w:val="20"/>
          <w:lang w:bidi="ar-SA"/>
        </w:rPr>
        <w:t>.</w:t>
      </w:r>
    </w:p>
    <w:p w14:paraId="7053BB2C" w14:textId="77777777" w:rsidR="00DA3B93" w:rsidRPr="004877BC" w:rsidRDefault="00DA3B93" w:rsidP="00DA3B93">
      <w:pPr>
        <w:spacing w:before="120" w:after="120"/>
        <w:ind w:left="851" w:hanging="851"/>
        <w:rPr>
          <w:b/>
          <w:sz w:val="20"/>
          <w:szCs w:val="20"/>
          <w:lang w:bidi="ar-SA"/>
        </w:rPr>
      </w:pPr>
      <w:r w:rsidRPr="004877BC">
        <w:rPr>
          <w:b/>
          <w:sz w:val="20"/>
          <w:szCs w:val="20"/>
          <w:lang w:bidi="ar-SA"/>
        </w:rPr>
        <w:t>3</w:t>
      </w:r>
      <w:r w:rsidRPr="004877BC">
        <w:rPr>
          <w:b/>
          <w:sz w:val="20"/>
          <w:szCs w:val="20"/>
          <w:lang w:bidi="ar-SA"/>
        </w:rPr>
        <w:tab/>
        <w:t>Commencement</w:t>
      </w:r>
    </w:p>
    <w:p w14:paraId="57407A73" w14:textId="77777777" w:rsidR="00DA3B93" w:rsidRPr="004877BC" w:rsidRDefault="00DA3B93" w:rsidP="00DA3B93">
      <w:pPr>
        <w:widowControl/>
        <w:tabs>
          <w:tab w:val="left" w:pos="851"/>
        </w:tabs>
        <w:spacing w:before="120" w:after="120"/>
        <w:rPr>
          <w:sz w:val="20"/>
          <w:szCs w:val="20"/>
          <w:lang w:bidi="ar-SA"/>
        </w:rPr>
      </w:pPr>
      <w:r w:rsidRPr="004877BC">
        <w:rPr>
          <w:sz w:val="20"/>
          <w:szCs w:val="20"/>
          <w:lang w:bidi="ar-SA"/>
        </w:rPr>
        <w:t>The variation commences on the date of gazettal.</w:t>
      </w:r>
    </w:p>
    <w:p w14:paraId="5FA6642B" w14:textId="77777777" w:rsidR="00DA3B93" w:rsidRPr="004877BC" w:rsidRDefault="00DA3B93" w:rsidP="00DA3B93">
      <w:pPr>
        <w:tabs>
          <w:tab w:val="left" w:pos="851"/>
        </w:tabs>
        <w:jc w:val="center"/>
        <w:rPr>
          <w:b/>
          <w:sz w:val="20"/>
          <w:szCs w:val="20"/>
          <w:lang w:bidi="ar-SA"/>
        </w:rPr>
      </w:pPr>
      <w:r w:rsidRPr="004877BC">
        <w:rPr>
          <w:b/>
          <w:sz w:val="20"/>
          <w:szCs w:val="20"/>
          <w:lang w:bidi="ar-SA"/>
        </w:rPr>
        <w:t>Schedule</w:t>
      </w:r>
    </w:p>
    <w:p w14:paraId="0D5DB006" w14:textId="77777777" w:rsidR="00DA3B93" w:rsidRPr="004877BC" w:rsidRDefault="00DA3B93" w:rsidP="00DA3B93">
      <w:pPr>
        <w:pStyle w:val="FSCDraftingitem"/>
      </w:pPr>
      <w:r w:rsidRPr="004877BC">
        <w:rPr>
          <w:b/>
        </w:rPr>
        <w:t>[1]</w:t>
      </w:r>
      <w:r w:rsidRPr="004877BC">
        <w:rPr>
          <w:b/>
        </w:rPr>
        <w:tab/>
        <w:t xml:space="preserve">Standard 4.5.1 </w:t>
      </w:r>
      <w:r w:rsidRPr="004877BC">
        <w:t>is varied by inserting each of the following into the Table to clause 4 in alphabetical order</w:t>
      </w:r>
    </w:p>
    <w:tbl>
      <w:tblPr>
        <w:tblW w:w="5103" w:type="dxa"/>
        <w:jc w:val="center"/>
        <w:tblLook w:val="0000" w:firstRow="0" w:lastRow="0" w:firstColumn="0" w:lastColumn="0" w:noHBand="0" w:noVBand="0"/>
      </w:tblPr>
      <w:tblGrid>
        <w:gridCol w:w="5103"/>
      </w:tblGrid>
      <w:tr w:rsidR="00DA3B93" w:rsidRPr="004877BC" w14:paraId="6CE4485B" w14:textId="77777777" w:rsidTr="007A570B">
        <w:trPr>
          <w:trHeight w:val="240"/>
          <w:jc w:val="center"/>
        </w:trPr>
        <w:tc>
          <w:tcPr>
            <w:tcW w:w="5103" w:type="dxa"/>
          </w:tcPr>
          <w:p w14:paraId="5E3686F5" w14:textId="77777777" w:rsidR="00DA3B93" w:rsidRPr="004877BC" w:rsidRDefault="00DA3B93" w:rsidP="007A570B">
            <w:pPr>
              <w:pStyle w:val="Table2"/>
              <w:rPr>
                <w:lang w:bidi="ar-SA"/>
              </w:rPr>
            </w:pPr>
            <w:r w:rsidRPr="004877BC">
              <w:rPr>
                <w:lang w:bidi="ar-SA"/>
              </w:rPr>
              <w:t>Carrageenan</w:t>
            </w:r>
          </w:p>
        </w:tc>
      </w:tr>
      <w:tr w:rsidR="00DA3B93" w:rsidRPr="004877BC" w14:paraId="2785E4A9" w14:textId="77777777" w:rsidTr="007A570B">
        <w:trPr>
          <w:trHeight w:val="240"/>
          <w:jc w:val="center"/>
        </w:trPr>
        <w:tc>
          <w:tcPr>
            <w:tcW w:w="5103" w:type="dxa"/>
          </w:tcPr>
          <w:p w14:paraId="0CB8C5B8" w14:textId="77777777" w:rsidR="00DA3B93" w:rsidRPr="004877BC" w:rsidRDefault="00DA3B93" w:rsidP="007A570B">
            <w:pPr>
              <w:pStyle w:val="Table2"/>
              <w:rPr>
                <w:lang w:bidi="ar-SA"/>
              </w:rPr>
            </w:pPr>
            <w:r w:rsidRPr="004877BC">
              <w:rPr>
                <w:lang w:bidi="ar-SA"/>
              </w:rPr>
              <w:t>Pectins</w:t>
            </w:r>
          </w:p>
        </w:tc>
      </w:tr>
    </w:tbl>
    <w:p w14:paraId="2EDD4CF5" w14:textId="77777777" w:rsidR="00456BD5" w:rsidRPr="00795D86" w:rsidRDefault="00456BD5" w:rsidP="00456BD5">
      <w:pPr>
        <w:rPr>
          <w:lang w:bidi="ar-SA"/>
        </w:rPr>
      </w:pPr>
    </w:p>
    <w:p w14:paraId="7ADE116A" w14:textId="77777777" w:rsidR="00456BD5" w:rsidRDefault="00456BD5" w:rsidP="00456BD5">
      <w:pPr>
        <w:pStyle w:val="Heading2"/>
        <w:ind w:left="0" w:firstLine="0"/>
      </w:pPr>
      <w:r w:rsidRPr="00932F14">
        <w:br w:type="page"/>
      </w:r>
      <w:bookmarkStart w:id="127" w:name="_Toc481153343"/>
      <w:r w:rsidR="005E06C0" w:rsidRPr="00932F14">
        <w:lastRenderedPageBreak/>
        <w:t xml:space="preserve">Attachment </w:t>
      </w:r>
      <w:r w:rsidR="005E06C0">
        <w:t xml:space="preserve">B – </w:t>
      </w:r>
      <w:r>
        <w:t>Explanatory Statement</w:t>
      </w:r>
      <w:bookmarkEnd w:id="127"/>
    </w:p>
    <w:p w14:paraId="344F1B7A"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59DDD67C" w14:textId="77777777" w:rsidR="00456BD5" w:rsidRDefault="00456BD5" w:rsidP="00456BD5">
      <w:pPr>
        <w:rPr>
          <w:lang w:val="en-AU" w:eastAsia="en-GB" w:bidi="ar-SA"/>
        </w:rPr>
      </w:pPr>
    </w:p>
    <w:p w14:paraId="2E7A319C"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0CDE9FE" w14:textId="77777777" w:rsidR="00456BD5" w:rsidRPr="00DA3B93" w:rsidRDefault="00456BD5" w:rsidP="00456BD5">
      <w:pPr>
        <w:widowControl/>
        <w:autoSpaceDE w:val="0"/>
        <w:autoSpaceDN w:val="0"/>
        <w:adjustRightInd w:val="0"/>
        <w:rPr>
          <w:rFonts w:eastAsia="Calibri" w:cs="Arial"/>
          <w:bCs/>
          <w:szCs w:val="22"/>
          <w:lang w:val="en-AU" w:bidi="ar-SA"/>
        </w:rPr>
      </w:pPr>
    </w:p>
    <w:p w14:paraId="16967138" w14:textId="77777777" w:rsidR="00456BD5" w:rsidRPr="00DA3B93" w:rsidRDefault="00456BD5" w:rsidP="00456BD5">
      <w:pPr>
        <w:widowControl/>
        <w:autoSpaceDE w:val="0"/>
        <w:autoSpaceDN w:val="0"/>
        <w:adjustRightInd w:val="0"/>
        <w:rPr>
          <w:rFonts w:eastAsia="Calibri" w:cs="Arial"/>
          <w:bCs/>
          <w:szCs w:val="22"/>
          <w:lang w:val="en-AU" w:bidi="ar-SA"/>
        </w:rPr>
      </w:pPr>
      <w:r w:rsidRPr="00DA3B93">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48230CF" w14:textId="77777777" w:rsidR="00456BD5" w:rsidRPr="00DA3B93" w:rsidRDefault="00456BD5" w:rsidP="00456BD5">
      <w:pPr>
        <w:widowControl/>
        <w:autoSpaceDE w:val="0"/>
        <w:autoSpaceDN w:val="0"/>
        <w:adjustRightInd w:val="0"/>
        <w:rPr>
          <w:rFonts w:eastAsia="Calibri" w:cs="Arial"/>
          <w:bCs/>
          <w:szCs w:val="22"/>
          <w:lang w:val="en-AU" w:bidi="ar-SA"/>
        </w:rPr>
      </w:pPr>
    </w:p>
    <w:p w14:paraId="31974945" w14:textId="57F2F815" w:rsidR="00456BD5" w:rsidRPr="00DA3B93" w:rsidRDefault="00456BD5" w:rsidP="00456BD5">
      <w:pPr>
        <w:widowControl/>
        <w:autoSpaceDE w:val="0"/>
        <w:autoSpaceDN w:val="0"/>
        <w:adjustRightInd w:val="0"/>
        <w:rPr>
          <w:rFonts w:eastAsia="Calibri" w:cs="Arial"/>
          <w:bCs/>
          <w:szCs w:val="22"/>
          <w:lang w:val="en-AU" w:bidi="ar-SA"/>
        </w:rPr>
      </w:pPr>
      <w:r w:rsidRPr="00DA3B93">
        <w:rPr>
          <w:rFonts w:eastAsia="Calibri" w:cs="Arial"/>
          <w:bCs/>
          <w:szCs w:val="22"/>
          <w:lang w:val="en-AU" w:bidi="ar-SA"/>
        </w:rPr>
        <w:t>The Authority accepted Application A</w:t>
      </w:r>
      <w:r w:rsidR="00DA3B93" w:rsidRPr="00DA3B93">
        <w:rPr>
          <w:rFonts w:eastAsia="Calibri" w:cs="Arial"/>
          <w:bCs/>
          <w:szCs w:val="22"/>
          <w:lang w:val="en-AU" w:bidi="ar-SA"/>
        </w:rPr>
        <w:t>1126</w:t>
      </w:r>
      <w:r w:rsidRPr="00DA3B93">
        <w:rPr>
          <w:rFonts w:eastAsia="Calibri" w:cs="Arial"/>
          <w:bCs/>
          <w:szCs w:val="22"/>
          <w:lang w:val="en-AU" w:bidi="ar-SA"/>
        </w:rPr>
        <w:t xml:space="preserve"> which seeks </w:t>
      </w:r>
      <w:r w:rsidR="00DA3B93" w:rsidRPr="00DA3B93">
        <w:rPr>
          <w:rFonts w:eastAsia="Calibri" w:cs="Arial"/>
          <w:bCs/>
          <w:szCs w:val="22"/>
          <w:lang w:val="en-AU" w:bidi="ar-SA"/>
        </w:rPr>
        <w:t>permissions for pectins and carrageenan as processing aids to remove heat-unstable proteins from Australian produced wine</w:t>
      </w:r>
      <w:r w:rsidRPr="00DA3B93">
        <w:rPr>
          <w:rFonts w:eastAsia="Calibri" w:cs="Arial"/>
          <w:bCs/>
          <w:szCs w:val="22"/>
          <w:lang w:val="en-AU" w:bidi="ar-SA"/>
        </w:rPr>
        <w:t xml:space="preserve">. The Authority considered the Application in accordance with Division 1 of Part 3 and has approved a draft Standard. </w:t>
      </w:r>
    </w:p>
    <w:p w14:paraId="650C7E38" w14:textId="77777777" w:rsidR="00456BD5" w:rsidRPr="00D13E34" w:rsidRDefault="00456BD5" w:rsidP="00456BD5">
      <w:pPr>
        <w:widowControl/>
        <w:autoSpaceDE w:val="0"/>
        <w:autoSpaceDN w:val="0"/>
        <w:adjustRightInd w:val="0"/>
        <w:rPr>
          <w:rFonts w:eastAsia="Calibri" w:cs="Arial"/>
          <w:bCs/>
          <w:szCs w:val="22"/>
          <w:lang w:val="en-AU" w:bidi="ar-SA"/>
        </w:rPr>
      </w:pPr>
    </w:p>
    <w:p w14:paraId="2B530C5A"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C0DA2A7" w14:textId="77777777" w:rsidR="00456BD5" w:rsidRPr="00D13E34" w:rsidRDefault="00456BD5" w:rsidP="00456BD5">
      <w:pPr>
        <w:widowControl/>
        <w:autoSpaceDE w:val="0"/>
        <w:autoSpaceDN w:val="0"/>
        <w:adjustRightInd w:val="0"/>
        <w:rPr>
          <w:rFonts w:eastAsia="Calibri" w:cs="Arial"/>
          <w:bCs/>
          <w:szCs w:val="22"/>
          <w:lang w:val="en-AU" w:bidi="ar-SA"/>
        </w:rPr>
      </w:pPr>
    </w:p>
    <w:p w14:paraId="22259EDC"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184C2E9F" w14:textId="77777777" w:rsidR="00456BD5" w:rsidRDefault="00456BD5" w:rsidP="00456BD5">
      <w:pPr>
        <w:rPr>
          <w:lang w:val="en-AU" w:eastAsia="en-GB" w:bidi="ar-SA"/>
        </w:rPr>
      </w:pPr>
    </w:p>
    <w:p w14:paraId="3DA5554A"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0AC5D552" w14:textId="77777777" w:rsidR="00456BD5" w:rsidRDefault="00456BD5" w:rsidP="00456BD5">
      <w:pPr>
        <w:rPr>
          <w:lang w:val="en-AU" w:eastAsia="en-GB" w:bidi="ar-SA"/>
        </w:rPr>
      </w:pPr>
    </w:p>
    <w:p w14:paraId="629571AB" w14:textId="22751D7E" w:rsidR="00456BD5" w:rsidRDefault="00456BD5" w:rsidP="00456BD5">
      <w:pPr>
        <w:rPr>
          <w:lang w:val="en-AU" w:eastAsia="en-GB" w:bidi="ar-SA"/>
        </w:rPr>
      </w:pPr>
      <w:r>
        <w:rPr>
          <w:lang w:val="en-AU" w:eastAsia="en-GB" w:bidi="ar-SA"/>
        </w:rPr>
        <w:t xml:space="preserve">The Authority has approved </w:t>
      </w:r>
      <w:r w:rsidR="00777130" w:rsidRPr="00777130">
        <w:rPr>
          <w:lang w:val="en-AU" w:eastAsia="en-GB" w:bidi="ar-SA"/>
        </w:rPr>
        <w:t xml:space="preserve">a draft variation to Standard 4.5.1 – Wine Production Requirements in the Code (an Australia only standard) to permit pectins and carrageenan as processing aids in the production of wine in Australia </w:t>
      </w:r>
      <w:r w:rsidR="00777130" w:rsidRPr="00777130">
        <w:rPr>
          <w:lang w:eastAsia="en-GB" w:bidi="ar-SA"/>
        </w:rPr>
        <w:t>with the technological purpose of acting as fining agents that help remove heat unstable proteins from wine</w:t>
      </w:r>
      <w:r w:rsidR="00777130" w:rsidRPr="00777130">
        <w:rPr>
          <w:lang w:val="en-AU" w:eastAsia="en-GB" w:bidi="ar-SA"/>
        </w:rPr>
        <w:t xml:space="preserve">. </w:t>
      </w:r>
    </w:p>
    <w:p w14:paraId="1A36A6E2" w14:textId="77777777" w:rsidR="00456BD5" w:rsidRDefault="00456BD5" w:rsidP="00456BD5">
      <w:pPr>
        <w:rPr>
          <w:lang w:val="en-AU" w:eastAsia="en-GB" w:bidi="ar-SA"/>
        </w:rPr>
      </w:pPr>
    </w:p>
    <w:p w14:paraId="3DACE5F2"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CFE5772" w14:textId="77777777" w:rsidR="00456BD5" w:rsidRDefault="00456BD5" w:rsidP="00456BD5">
      <w:pPr>
        <w:rPr>
          <w:lang w:val="en-AU" w:eastAsia="en-GB" w:bidi="ar-SA"/>
        </w:rPr>
      </w:pPr>
    </w:p>
    <w:p w14:paraId="346D84C9"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88BDAB9" w14:textId="77777777" w:rsidR="00456BD5" w:rsidRDefault="00456BD5" w:rsidP="00456BD5">
      <w:pPr>
        <w:rPr>
          <w:lang w:val="en-AU" w:eastAsia="en-GB" w:bidi="ar-SA"/>
        </w:rPr>
      </w:pPr>
    </w:p>
    <w:p w14:paraId="5852E4E4"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7F23D810" w14:textId="77777777" w:rsidR="00456BD5" w:rsidRDefault="00456BD5" w:rsidP="00456BD5">
      <w:pPr>
        <w:rPr>
          <w:lang w:val="en-AU" w:eastAsia="en-GB" w:bidi="ar-SA"/>
        </w:rPr>
      </w:pPr>
    </w:p>
    <w:p w14:paraId="1D24EAD4" w14:textId="46A2FC7C" w:rsidR="00456BD5" w:rsidRPr="00347C8D" w:rsidRDefault="00456BD5" w:rsidP="00456BD5">
      <w:pPr>
        <w:rPr>
          <w:lang w:val="en-AU"/>
        </w:rPr>
      </w:pPr>
      <w:r w:rsidRPr="00F634A1">
        <w:rPr>
          <w:szCs w:val="22"/>
        </w:rPr>
        <w:t xml:space="preserve">In accordance </w:t>
      </w:r>
      <w:r w:rsidRPr="00347C8D">
        <w:rPr>
          <w:szCs w:val="22"/>
        </w:rPr>
        <w:t xml:space="preserve">with the procedure in Division </w:t>
      </w:r>
      <w:r w:rsidR="00673363" w:rsidRPr="00347C8D">
        <w:rPr>
          <w:szCs w:val="22"/>
        </w:rPr>
        <w:t>1</w:t>
      </w:r>
      <w:r w:rsidRPr="00347C8D">
        <w:rPr>
          <w:szCs w:val="22"/>
        </w:rPr>
        <w:t xml:space="preserve"> of Part </w:t>
      </w:r>
      <w:r w:rsidR="00673363" w:rsidRPr="00347C8D">
        <w:rPr>
          <w:szCs w:val="22"/>
        </w:rPr>
        <w:t>3</w:t>
      </w:r>
      <w:r w:rsidRPr="00347C8D">
        <w:rPr>
          <w:szCs w:val="22"/>
        </w:rPr>
        <w:t xml:space="preserve"> of the FSANZ Act, </w:t>
      </w:r>
      <w:r w:rsidRPr="00347C8D">
        <w:rPr>
          <w:rFonts w:eastAsia="Calibri" w:cs="Arial"/>
          <w:bCs/>
          <w:szCs w:val="22"/>
          <w:lang w:val="en-AU" w:bidi="ar-SA"/>
        </w:rPr>
        <w:t>the Authority</w:t>
      </w:r>
      <w:r w:rsidRPr="00347C8D">
        <w:rPr>
          <w:szCs w:val="22"/>
        </w:rPr>
        <w:t>’s consideration of Application A</w:t>
      </w:r>
      <w:r w:rsidR="00673363" w:rsidRPr="00347C8D">
        <w:rPr>
          <w:szCs w:val="22"/>
        </w:rPr>
        <w:t>1126</w:t>
      </w:r>
      <w:r w:rsidRPr="00347C8D">
        <w:rPr>
          <w:szCs w:val="22"/>
        </w:rPr>
        <w:t xml:space="preserve"> included one round of public consultation following an assessment and the preparation of a draft Standard and associated report. Submissions were called for on </w:t>
      </w:r>
      <w:r w:rsidR="00673363" w:rsidRPr="00347C8D">
        <w:rPr>
          <w:szCs w:val="22"/>
        </w:rPr>
        <w:t>20 February 2017</w:t>
      </w:r>
      <w:r w:rsidRPr="00347C8D">
        <w:rPr>
          <w:szCs w:val="22"/>
        </w:rPr>
        <w:t xml:space="preserve"> for a six-week consultation period. </w:t>
      </w:r>
    </w:p>
    <w:p w14:paraId="51BA4D0F" w14:textId="77777777" w:rsidR="00456BD5" w:rsidRPr="00347C8D" w:rsidRDefault="00456BD5" w:rsidP="00456BD5">
      <w:pPr>
        <w:rPr>
          <w:rFonts w:eastAsia="Calibri"/>
          <w:szCs w:val="22"/>
          <w:lang w:val="en-AU" w:bidi="ar-SA"/>
        </w:rPr>
      </w:pPr>
    </w:p>
    <w:p w14:paraId="732B1821" w14:textId="5ABC87C9" w:rsidR="00456BD5" w:rsidRPr="00347C8D" w:rsidRDefault="00456BD5" w:rsidP="00456BD5">
      <w:pPr>
        <w:widowControl/>
        <w:autoSpaceDE w:val="0"/>
        <w:autoSpaceDN w:val="0"/>
        <w:adjustRightInd w:val="0"/>
        <w:rPr>
          <w:rFonts w:cs="Arial"/>
          <w:szCs w:val="22"/>
        </w:rPr>
      </w:pPr>
      <w:r w:rsidRPr="00347C8D">
        <w:rPr>
          <w:rFonts w:eastAsia="Calibri" w:cs="Arial"/>
          <w:bCs/>
          <w:szCs w:val="22"/>
          <w:lang w:val="en-AU" w:bidi="ar-SA"/>
        </w:rPr>
        <w:t xml:space="preserve">A Regulation Impact Statement was not required because the proposed variations to Standard </w:t>
      </w:r>
      <w:r w:rsidR="00673363" w:rsidRPr="00347C8D">
        <w:rPr>
          <w:rFonts w:eastAsia="Calibri" w:cs="Arial"/>
          <w:bCs/>
          <w:szCs w:val="22"/>
          <w:lang w:val="en-AU" w:bidi="ar-SA"/>
        </w:rPr>
        <w:t>4.5.1</w:t>
      </w:r>
      <w:r w:rsidRPr="00347C8D">
        <w:rPr>
          <w:rFonts w:eastAsia="Calibri" w:cs="Arial"/>
          <w:bCs/>
          <w:szCs w:val="22"/>
          <w:lang w:val="en-AU" w:bidi="ar-SA"/>
        </w:rPr>
        <w:t xml:space="preserve"> </w:t>
      </w:r>
      <w:r w:rsidRPr="00347C8D">
        <w:t xml:space="preserve">are likely to have a minor impact on business and individuals. </w:t>
      </w:r>
    </w:p>
    <w:p w14:paraId="5749A877" w14:textId="77777777" w:rsidR="00456BD5" w:rsidRPr="00347C8D" w:rsidRDefault="00456BD5" w:rsidP="00456BD5">
      <w:pPr>
        <w:rPr>
          <w:lang w:val="en-AU" w:eastAsia="en-GB" w:bidi="ar-SA"/>
        </w:rPr>
      </w:pPr>
    </w:p>
    <w:p w14:paraId="3FD0CE73" w14:textId="77777777" w:rsidR="00456BD5" w:rsidRDefault="00456BD5" w:rsidP="00456BD5">
      <w:pPr>
        <w:widowControl/>
        <w:rPr>
          <w:rFonts w:eastAsiaTheme="minorHAnsi" w:cs="Arial"/>
          <w:b/>
          <w:bCs/>
          <w:szCs w:val="22"/>
          <w:lang w:val="en-AU" w:bidi="ar-SA"/>
        </w:rPr>
      </w:pPr>
      <w:r w:rsidRPr="00347C8D">
        <w:rPr>
          <w:rFonts w:eastAsiaTheme="minorHAnsi" w:cs="Arial"/>
          <w:b/>
          <w:bCs/>
          <w:szCs w:val="22"/>
          <w:lang w:val="en-AU" w:bidi="ar-SA"/>
        </w:rPr>
        <w:t>5.</w:t>
      </w:r>
      <w:r w:rsidRPr="00347C8D">
        <w:rPr>
          <w:rFonts w:eastAsiaTheme="minorHAnsi" w:cs="Arial"/>
          <w:b/>
          <w:bCs/>
          <w:szCs w:val="22"/>
          <w:lang w:val="en-AU" w:bidi="ar-SA"/>
        </w:rPr>
        <w:tab/>
        <w:t xml:space="preserve">Statement of compatibility </w:t>
      </w:r>
      <w:r>
        <w:rPr>
          <w:rFonts w:eastAsiaTheme="minorHAnsi" w:cs="Arial"/>
          <w:b/>
          <w:bCs/>
          <w:szCs w:val="22"/>
          <w:lang w:val="en-AU" w:bidi="ar-SA"/>
        </w:rPr>
        <w:t>with human rights</w:t>
      </w:r>
    </w:p>
    <w:p w14:paraId="488CD6DC" w14:textId="77777777" w:rsidR="00456BD5" w:rsidRDefault="00456BD5" w:rsidP="00456BD5">
      <w:pPr>
        <w:rPr>
          <w:rFonts w:eastAsiaTheme="minorHAnsi"/>
          <w:lang w:val="en-AU" w:bidi="ar-SA"/>
        </w:rPr>
      </w:pPr>
    </w:p>
    <w:p w14:paraId="5E1BA1E4"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51E9E36" w14:textId="77777777" w:rsidR="00456BD5" w:rsidRDefault="00456BD5" w:rsidP="00456BD5">
      <w:pPr>
        <w:rPr>
          <w:rFonts w:eastAsiaTheme="minorHAnsi"/>
          <w:lang w:val="en-AU" w:bidi="ar-SA"/>
        </w:rPr>
      </w:pPr>
    </w:p>
    <w:p w14:paraId="6F86583D" w14:textId="77777777" w:rsidR="009D0C13" w:rsidRDefault="009D0C13" w:rsidP="00456BD5">
      <w:pPr>
        <w:rPr>
          <w:b/>
        </w:rPr>
      </w:pPr>
      <w:r>
        <w:rPr>
          <w:b/>
        </w:rPr>
        <w:br w:type="page"/>
      </w:r>
    </w:p>
    <w:p w14:paraId="62A87D85" w14:textId="21525B54" w:rsidR="00456BD5" w:rsidRPr="00C66AC4"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3B0B6E53" w14:textId="77777777" w:rsidR="00C66AC4" w:rsidRPr="00593A08" w:rsidRDefault="00C66AC4" w:rsidP="00C66AC4">
      <w:pPr>
        <w:rPr>
          <w:b/>
        </w:rPr>
      </w:pPr>
    </w:p>
    <w:p w14:paraId="40943F18" w14:textId="37AAA4D4" w:rsidR="00C66AC4" w:rsidRDefault="00C66AC4" w:rsidP="00C66AC4">
      <w:pPr>
        <w:keepLines/>
        <w:widowControl/>
        <w:tabs>
          <w:tab w:val="right" w:pos="3969"/>
        </w:tabs>
        <w:spacing w:before="60" w:after="60"/>
      </w:pPr>
      <w:r w:rsidRPr="00BE1605">
        <w:t>Item 1</w:t>
      </w:r>
      <w:r w:rsidRPr="00593A08">
        <w:t xml:space="preserve"> amends Standard 4.5.1</w:t>
      </w:r>
      <w:r>
        <w:t xml:space="preserve"> by</w:t>
      </w:r>
      <w:r w:rsidRPr="00593A08">
        <w:t xml:space="preserve"> insert</w:t>
      </w:r>
      <w:r>
        <w:t>ing</w:t>
      </w:r>
      <w:r w:rsidRPr="00593A08">
        <w:t xml:space="preserve"> reference</w:t>
      </w:r>
      <w:r>
        <w:t>s</w:t>
      </w:r>
      <w:r w:rsidRPr="00593A08">
        <w:t xml:space="preserve"> to </w:t>
      </w:r>
      <w:r>
        <w:t>c</w:t>
      </w:r>
      <w:r w:rsidRPr="00593A08">
        <w:t xml:space="preserve">arrageenan and </w:t>
      </w:r>
      <w:r>
        <w:t>p</w:t>
      </w:r>
      <w:r w:rsidRPr="00593A08">
        <w:t xml:space="preserve">ectins into the </w:t>
      </w:r>
      <w:r>
        <w:t>T</w:t>
      </w:r>
      <w:r w:rsidRPr="00593A08">
        <w:t xml:space="preserve">able to clause 4. </w:t>
      </w:r>
    </w:p>
    <w:p w14:paraId="12454680" w14:textId="77777777" w:rsidR="00C66AC4" w:rsidRDefault="00C66AC4" w:rsidP="00C66AC4">
      <w:pPr>
        <w:keepLines/>
        <w:widowControl/>
        <w:tabs>
          <w:tab w:val="right" w:pos="3969"/>
        </w:tabs>
        <w:spacing w:before="60" w:after="60"/>
      </w:pPr>
    </w:p>
    <w:p w14:paraId="06AE5A9F" w14:textId="79BAB248" w:rsidR="00C66AC4" w:rsidRDefault="00C66AC4" w:rsidP="00C66AC4">
      <w:pPr>
        <w:keepLines/>
        <w:widowControl/>
        <w:tabs>
          <w:tab w:val="right" w:pos="3969"/>
        </w:tabs>
        <w:spacing w:before="60" w:after="60"/>
      </w:pPr>
      <w:r w:rsidRPr="00593A08">
        <w:t xml:space="preserve">The effect of this amendment will be to permit the use of </w:t>
      </w:r>
      <w:r>
        <w:t>c</w:t>
      </w:r>
      <w:r w:rsidRPr="00593A08">
        <w:t xml:space="preserve">arrageenan and </w:t>
      </w:r>
      <w:r>
        <w:t>p</w:t>
      </w:r>
      <w:r w:rsidRPr="00593A08">
        <w:t>ectins as processing aids in the production of wine</w:t>
      </w:r>
      <w:r w:rsidR="00147AD2">
        <w:t>, sparkling wine or fortified wine</w:t>
      </w:r>
      <w:r w:rsidRPr="00593A08">
        <w:t xml:space="preserve"> in Australia</w:t>
      </w:r>
      <w:r>
        <w:t xml:space="preserve">. </w:t>
      </w:r>
    </w:p>
    <w:p w14:paraId="69D72920" w14:textId="77777777" w:rsidR="00C66AC4" w:rsidRDefault="00C66AC4" w:rsidP="00C66AC4">
      <w:pPr>
        <w:keepLines/>
        <w:widowControl/>
        <w:tabs>
          <w:tab w:val="right" w:pos="3969"/>
        </w:tabs>
        <w:spacing w:before="60" w:after="60"/>
      </w:pPr>
    </w:p>
    <w:p w14:paraId="7E51A6A2" w14:textId="77777777" w:rsidR="00C66AC4" w:rsidRPr="00593A08" w:rsidRDefault="00C66AC4" w:rsidP="00C66AC4">
      <w:pPr>
        <w:keepLines/>
        <w:widowControl/>
        <w:tabs>
          <w:tab w:val="right" w:pos="3969"/>
        </w:tabs>
        <w:spacing w:before="60" w:after="60"/>
      </w:pPr>
      <w:r>
        <w:t xml:space="preserve">The use of these substances must be consistent with conditions of Good Manufacturing Practice (GMP) in accordance with subclause 5(8) of </w:t>
      </w:r>
      <w:r w:rsidRPr="00593A08">
        <w:t>Standard 4.5.1.</w:t>
      </w:r>
    </w:p>
    <w:p w14:paraId="6FDBAB3A" w14:textId="5C0B1483" w:rsidR="00456BD5" w:rsidRPr="00C66AC4" w:rsidRDefault="00456BD5" w:rsidP="00456BD5"/>
    <w:bookmarkEnd w:id="125"/>
    <w:bookmarkEnd w:id="126"/>
    <w:p w14:paraId="5944C183" w14:textId="77777777" w:rsidR="00456BD5" w:rsidRDefault="00456BD5" w:rsidP="00456BD5">
      <w:pPr>
        <w:rPr>
          <w:lang w:val="en-AU" w:eastAsia="en-GB" w:bidi="ar-SA"/>
        </w:rPr>
      </w:pPr>
    </w:p>
    <w:sectPr w:rsidR="00456BD5"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93C5E" w14:textId="77777777" w:rsidR="00B67411" w:rsidRDefault="00B67411">
      <w:r>
        <w:separator/>
      </w:r>
    </w:p>
    <w:p w14:paraId="7BBDBE28" w14:textId="77777777" w:rsidR="00B67411" w:rsidRDefault="00B67411"/>
  </w:endnote>
  <w:endnote w:type="continuationSeparator" w:id="0">
    <w:p w14:paraId="4253EE6C" w14:textId="77777777" w:rsidR="00B67411" w:rsidRDefault="00B67411">
      <w:r>
        <w:continuationSeparator/>
      </w:r>
    </w:p>
    <w:p w14:paraId="28EE854B" w14:textId="77777777" w:rsidR="00B67411" w:rsidRDefault="00B67411"/>
  </w:endnote>
  <w:endnote w:type="continuationNotice" w:id="1">
    <w:p w14:paraId="098C345B" w14:textId="77777777" w:rsidR="008D713B" w:rsidRDefault="008D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DA8B" w14:textId="77777777" w:rsidR="00B67411" w:rsidRDefault="00B6741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29E726" w14:textId="77777777" w:rsidR="00B67411" w:rsidRDefault="00B67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786D286" w14:textId="4BEAA727" w:rsidR="00B67411" w:rsidRDefault="00B67411" w:rsidP="00A671E6">
        <w:pPr>
          <w:pStyle w:val="Footer"/>
          <w:jc w:val="center"/>
        </w:pPr>
        <w:r>
          <w:fldChar w:fldCharType="begin"/>
        </w:r>
        <w:r>
          <w:instrText xml:space="preserve"> PAGE   \* MERGEFORMAT </w:instrText>
        </w:r>
        <w:r>
          <w:fldChar w:fldCharType="separate"/>
        </w:r>
        <w:r w:rsidR="008445A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BDA2" w14:textId="77777777" w:rsidR="00B67411" w:rsidRDefault="00B67411">
      <w:r>
        <w:separator/>
      </w:r>
    </w:p>
  </w:footnote>
  <w:footnote w:type="continuationSeparator" w:id="0">
    <w:p w14:paraId="7DCE19CB" w14:textId="77777777" w:rsidR="00B67411" w:rsidRDefault="00B67411">
      <w:r>
        <w:continuationSeparator/>
      </w:r>
    </w:p>
  </w:footnote>
  <w:footnote w:type="continuationNotice" w:id="1">
    <w:p w14:paraId="03E8C78A" w14:textId="77777777" w:rsidR="00B67411" w:rsidRDefault="00B674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5881" w14:textId="7B6D1F50" w:rsidR="00B67411" w:rsidRPr="00616017" w:rsidRDefault="00B67411" w:rsidP="00616017">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0761" w14:textId="77777777" w:rsidR="00B67411" w:rsidRDefault="00B6741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0A24ED"/>
    <w:multiLevelType w:val="hybridMultilevel"/>
    <w:tmpl w:val="D9CC26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0"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5"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6C2683"/>
    <w:multiLevelType w:val="hybridMultilevel"/>
    <w:tmpl w:val="73D2A13C"/>
    <w:lvl w:ilvl="0" w:tplc="D346B33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39"/>
  </w:num>
  <w:num w:numId="14">
    <w:abstractNumId w:val="26"/>
  </w:num>
  <w:num w:numId="15">
    <w:abstractNumId w:val="37"/>
  </w:num>
  <w:num w:numId="16">
    <w:abstractNumId w:val="11"/>
  </w:num>
  <w:num w:numId="17">
    <w:abstractNumId w:val="3"/>
  </w:num>
  <w:num w:numId="18">
    <w:abstractNumId w:val="0"/>
  </w:num>
  <w:num w:numId="19">
    <w:abstractNumId w:val="29"/>
  </w:num>
  <w:num w:numId="20">
    <w:abstractNumId w:val="8"/>
  </w:num>
  <w:num w:numId="21">
    <w:abstractNumId w:val="43"/>
  </w:num>
  <w:num w:numId="22">
    <w:abstractNumId w:val="36"/>
  </w:num>
  <w:num w:numId="23">
    <w:abstractNumId w:val="14"/>
  </w:num>
  <w:num w:numId="24">
    <w:abstractNumId w:val="16"/>
  </w:num>
  <w:num w:numId="25">
    <w:abstractNumId w:val="35"/>
  </w:num>
  <w:num w:numId="26">
    <w:abstractNumId w:val="35"/>
  </w:num>
  <w:num w:numId="27">
    <w:abstractNumId w:val="25"/>
  </w:num>
  <w:num w:numId="28">
    <w:abstractNumId w:val="30"/>
  </w:num>
  <w:num w:numId="29">
    <w:abstractNumId w:val="31"/>
  </w:num>
  <w:num w:numId="30">
    <w:abstractNumId w:val="20"/>
  </w:num>
  <w:num w:numId="31">
    <w:abstractNumId w:val="18"/>
  </w:num>
  <w:num w:numId="32">
    <w:abstractNumId w:val="2"/>
  </w:num>
  <w:num w:numId="33">
    <w:abstractNumId w:val="9"/>
  </w:num>
  <w:num w:numId="34">
    <w:abstractNumId w:val="4"/>
  </w:num>
  <w:num w:numId="35">
    <w:abstractNumId w:val="27"/>
  </w:num>
  <w:num w:numId="36">
    <w:abstractNumId w:val="24"/>
  </w:num>
  <w:num w:numId="37">
    <w:abstractNumId w:val="7"/>
  </w:num>
  <w:num w:numId="38">
    <w:abstractNumId w:val="41"/>
  </w:num>
  <w:num w:numId="39">
    <w:abstractNumId w:val="19"/>
  </w:num>
  <w:num w:numId="40">
    <w:abstractNumId w:val="32"/>
  </w:num>
  <w:num w:numId="41">
    <w:abstractNumId w:val="12"/>
  </w:num>
  <w:num w:numId="42">
    <w:abstractNumId w:val="34"/>
  </w:num>
  <w:num w:numId="43">
    <w:abstractNumId w:val="17"/>
  </w:num>
  <w:num w:numId="44">
    <w:abstractNumId w:val="23"/>
  </w:num>
  <w:num w:numId="45">
    <w:abstractNumId w:val="21"/>
  </w:num>
  <w:num w:numId="46">
    <w:abstractNumId w:val="10"/>
  </w:num>
  <w:num w:numId="47">
    <w:abstractNumId w:val="22"/>
  </w:num>
  <w:num w:numId="48">
    <w:abstractNumId w:val="33"/>
  </w:num>
  <w:num w:numId="49">
    <w:abstractNumId w:val="1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27EB"/>
    <w:rsid w:val="00012C28"/>
    <w:rsid w:val="00014E34"/>
    <w:rsid w:val="00026C07"/>
    <w:rsid w:val="00030F65"/>
    <w:rsid w:val="000332AE"/>
    <w:rsid w:val="00035FF3"/>
    <w:rsid w:val="000377E3"/>
    <w:rsid w:val="000418F0"/>
    <w:rsid w:val="00051021"/>
    <w:rsid w:val="000524F0"/>
    <w:rsid w:val="00052D54"/>
    <w:rsid w:val="000576EB"/>
    <w:rsid w:val="00064340"/>
    <w:rsid w:val="00064B2D"/>
    <w:rsid w:val="00065F1F"/>
    <w:rsid w:val="00071D39"/>
    <w:rsid w:val="00076D33"/>
    <w:rsid w:val="00076D3B"/>
    <w:rsid w:val="00077859"/>
    <w:rsid w:val="00077AEA"/>
    <w:rsid w:val="00081B0A"/>
    <w:rsid w:val="000847FF"/>
    <w:rsid w:val="00084FA4"/>
    <w:rsid w:val="000A0E8D"/>
    <w:rsid w:val="000A3D8B"/>
    <w:rsid w:val="000B2AF2"/>
    <w:rsid w:val="000B427A"/>
    <w:rsid w:val="000B6AF2"/>
    <w:rsid w:val="000D6335"/>
    <w:rsid w:val="000D6FD4"/>
    <w:rsid w:val="000D7B1C"/>
    <w:rsid w:val="000E0AE4"/>
    <w:rsid w:val="000E1EA4"/>
    <w:rsid w:val="000E3DBC"/>
    <w:rsid w:val="000E649C"/>
    <w:rsid w:val="000E662F"/>
    <w:rsid w:val="000F3CFE"/>
    <w:rsid w:val="000F6568"/>
    <w:rsid w:val="00101B08"/>
    <w:rsid w:val="00102819"/>
    <w:rsid w:val="00104544"/>
    <w:rsid w:val="0010778D"/>
    <w:rsid w:val="001122EC"/>
    <w:rsid w:val="0012388D"/>
    <w:rsid w:val="00136892"/>
    <w:rsid w:val="00136B57"/>
    <w:rsid w:val="0014414B"/>
    <w:rsid w:val="001458DE"/>
    <w:rsid w:val="00147AD2"/>
    <w:rsid w:val="00150B54"/>
    <w:rsid w:val="0015187A"/>
    <w:rsid w:val="00164F0F"/>
    <w:rsid w:val="00165F4B"/>
    <w:rsid w:val="00181BD5"/>
    <w:rsid w:val="00182C4C"/>
    <w:rsid w:val="001878C5"/>
    <w:rsid w:val="00192AF7"/>
    <w:rsid w:val="0019399D"/>
    <w:rsid w:val="00197D8D"/>
    <w:rsid w:val="001A1A75"/>
    <w:rsid w:val="001A7E9A"/>
    <w:rsid w:val="001C27A3"/>
    <w:rsid w:val="001D181A"/>
    <w:rsid w:val="001D43F6"/>
    <w:rsid w:val="001E09FA"/>
    <w:rsid w:val="001F1BE1"/>
    <w:rsid w:val="001F7F63"/>
    <w:rsid w:val="00202A6F"/>
    <w:rsid w:val="00214D68"/>
    <w:rsid w:val="002202F3"/>
    <w:rsid w:val="0022197C"/>
    <w:rsid w:val="00221D07"/>
    <w:rsid w:val="00224E3B"/>
    <w:rsid w:val="0022529A"/>
    <w:rsid w:val="00227E4A"/>
    <w:rsid w:val="00227F4C"/>
    <w:rsid w:val="00234FC6"/>
    <w:rsid w:val="002421C1"/>
    <w:rsid w:val="00250197"/>
    <w:rsid w:val="0025380C"/>
    <w:rsid w:val="00262520"/>
    <w:rsid w:val="0026387E"/>
    <w:rsid w:val="002758A0"/>
    <w:rsid w:val="00281CA3"/>
    <w:rsid w:val="0029204E"/>
    <w:rsid w:val="00292B9B"/>
    <w:rsid w:val="002A0194"/>
    <w:rsid w:val="002A5F8B"/>
    <w:rsid w:val="002A7F6C"/>
    <w:rsid w:val="002B0071"/>
    <w:rsid w:val="002C1A3B"/>
    <w:rsid w:val="002E16D5"/>
    <w:rsid w:val="002E1820"/>
    <w:rsid w:val="002F35EA"/>
    <w:rsid w:val="002F6488"/>
    <w:rsid w:val="00305C54"/>
    <w:rsid w:val="0031016C"/>
    <w:rsid w:val="0031426B"/>
    <w:rsid w:val="003213F9"/>
    <w:rsid w:val="00323AB6"/>
    <w:rsid w:val="00323DBF"/>
    <w:rsid w:val="00327867"/>
    <w:rsid w:val="00330B88"/>
    <w:rsid w:val="00332B12"/>
    <w:rsid w:val="00337CBC"/>
    <w:rsid w:val="003428FC"/>
    <w:rsid w:val="00346622"/>
    <w:rsid w:val="00347C8D"/>
    <w:rsid w:val="003507DB"/>
    <w:rsid w:val="00351B07"/>
    <w:rsid w:val="0036533D"/>
    <w:rsid w:val="00371B29"/>
    <w:rsid w:val="003766F8"/>
    <w:rsid w:val="00380106"/>
    <w:rsid w:val="003814F0"/>
    <w:rsid w:val="00381E07"/>
    <w:rsid w:val="00385788"/>
    <w:rsid w:val="00391769"/>
    <w:rsid w:val="0039338B"/>
    <w:rsid w:val="003953E1"/>
    <w:rsid w:val="003956B3"/>
    <w:rsid w:val="003A0A4D"/>
    <w:rsid w:val="003A3D30"/>
    <w:rsid w:val="003A68BE"/>
    <w:rsid w:val="003A7B84"/>
    <w:rsid w:val="003B182F"/>
    <w:rsid w:val="003C4969"/>
    <w:rsid w:val="003D2CDC"/>
    <w:rsid w:val="003D636C"/>
    <w:rsid w:val="003D76E7"/>
    <w:rsid w:val="003E41D5"/>
    <w:rsid w:val="003E46BA"/>
    <w:rsid w:val="003F034A"/>
    <w:rsid w:val="003F74C1"/>
    <w:rsid w:val="00401ADE"/>
    <w:rsid w:val="00405B1A"/>
    <w:rsid w:val="00410C76"/>
    <w:rsid w:val="00411907"/>
    <w:rsid w:val="00412F5B"/>
    <w:rsid w:val="00417EE3"/>
    <w:rsid w:val="004207EB"/>
    <w:rsid w:val="00421730"/>
    <w:rsid w:val="00422EC9"/>
    <w:rsid w:val="00423AC7"/>
    <w:rsid w:val="00432A42"/>
    <w:rsid w:val="00436CF2"/>
    <w:rsid w:val="00437276"/>
    <w:rsid w:val="00453646"/>
    <w:rsid w:val="00456B54"/>
    <w:rsid w:val="00456BD5"/>
    <w:rsid w:val="00464643"/>
    <w:rsid w:val="00486793"/>
    <w:rsid w:val="00486C66"/>
    <w:rsid w:val="00494A3F"/>
    <w:rsid w:val="004A2037"/>
    <w:rsid w:val="004A793C"/>
    <w:rsid w:val="004B047B"/>
    <w:rsid w:val="004B4CDC"/>
    <w:rsid w:val="004D0A18"/>
    <w:rsid w:val="004D121E"/>
    <w:rsid w:val="004D1B1C"/>
    <w:rsid w:val="004D32BF"/>
    <w:rsid w:val="004D4CEB"/>
    <w:rsid w:val="004F4F98"/>
    <w:rsid w:val="004F69F6"/>
    <w:rsid w:val="004F79AC"/>
    <w:rsid w:val="00506E9B"/>
    <w:rsid w:val="005207D8"/>
    <w:rsid w:val="00523930"/>
    <w:rsid w:val="005244F1"/>
    <w:rsid w:val="00537CDC"/>
    <w:rsid w:val="00560185"/>
    <w:rsid w:val="00562917"/>
    <w:rsid w:val="00571B8C"/>
    <w:rsid w:val="00580DDF"/>
    <w:rsid w:val="005811B7"/>
    <w:rsid w:val="00586228"/>
    <w:rsid w:val="005901A7"/>
    <w:rsid w:val="005946D3"/>
    <w:rsid w:val="00597631"/>
    <w:rsid w:val="005A572E"/>
    <w:rsid w:val="005B084E"/>
    <w:rsid w:val="005B6AF4"/>
    <w:rsid w:val="005C04CB"/>
    <w:rsid w:val="005D16AD"/>
    <w:rsid w:val="005D1C4D"/>
    <w:rsid w:val="005D2016"/>
    <w:rsid w:val="005D2A80"/>
    <w:rsid w:val="005D72E1"/>
    <w:rsid w:val="005E06C0"/>
    <w:rsid w:val="005E58D3"/>
    <w:rsid w:val="005E6E16"/>
    <w:rsid w:val="005F400E"/>
    <w:rsid w:val="005F7342"/>
    <w:rsid w:val="00610A3C"/>
    <w:rsid w:val="006138D7"/>
    <w:rsid w:val="00615E83"/>
    <w:rsid w:val="00616017"/>
    <w:rsid w:val="00627F48"/>
    <w:rsid w:val="0063455F"/>
    <w:rsid w:val="00635814"/>
    <w:rsid w:val="00663FCF"/>
    <w:rsid w:val="006652A2"/>
    <w:rsid w:val="00673363"/>
    <w:rsid w:val="00683071"/>
    <w:rsid w:val="00692490"/>
    <w:rsid w:val="006969CC"/>
    <w:rsid w:val="00696A15"/>
    <w:rsid w:val="006A200D"/>
    <w:rsid w:val="006A48A7"/>
    <w:rsid w:val="006A5D40"/>
    <w:rsid w:val="006C116D"/>
    <w:rsid w:val="006C22A7"/>
    <w:rsid w:val="006C5CF5"/>
    <w:rsid w:val="006D33FF"/>
    <w:rsid w:val="006D71D7"/>
    <w:rsid w:val="006E0C54"/>
    <w:rsid w:val="006E10A1"/>
    <w:rsid w:val="006F4A82"/>
    <w:rsid w:val="006F7A29"/>
    <w:rsid w:val="00710C37"/>
    <w:rsid w:val="00724FA4"/>
    <w:rsid w:val="00730800"/>
    <w:rsid w:val="00741C30"/>
    <w:rsid w:val="00755F02"/>
    <w:rsid w:val="007602AA"/>
    <w:rsid w:val="007652EF"/>
    <w:rsid w:val="00765DE1"/>
    <w:rsid w:val="007703AD"/>
    <w:rsid w:val="00772BDC"/>
    <w:rsid w:val="00777130"/>
    <w:rsid w:val="00777437"/>
    <w:rsid w:val="00780792"/>
    <w:rsid w:val="0078309E"/>
    <w:rsid w:val="00795D86"/>
    <w:rsid w:val="007A44B4"/>
    <w:rsid w:val="007A53BF"/>
    <w:rsid w:val="007A570B"/>
    <w:rsid w:val="007A7D3D"/>
    <w:rsid w:val="007B225D"/>
    <w:rsid w:val="007B37B3"/>
    <w:rsid w:val="007C1C64"/>
    <w:rsid w:val="007C22CB"/>
    <w:rsid w:val="007C36DE"/>
    <w:rsid w:val="007D0189"/>
    <w:rsid w:val="007E48BC"/>
    <w:rsid w:val="007E79F7"/>
    <w:rsid w:val="007F3630"/>
    <w:rsid w:val="007F7BF7"/>
    <w:rsid w:val="00807559"/>
    <w:rsid w:val="00810000"/>
    <w:rsid w:val="00813464"/>
    <w:rsid w:val="008227B8"/>
    <w:rsid w:val="00823534"/>
    <w:rsid w:val="00831154"/>
    <w:rsid w:val="008343D7"/>
    <w:rsid w:val="0083723A"/>
    <w:rsid w:val="008445AC"/>
    <w:rsid w:val="00844BE2"/>
    <w:rsid w:val="008450BC"/>
    <w:rsid w:val="00847066"/>
    <w:rsid w:val="00850B09"/>
    <w:rsid w:val="00852BC2"/>
    <w:rsid w:val="0085334B"/>
    <w:rsid w:val="008537BA"/>
    <w:rsid w:val="00856712"/>
    <w:rsid w:val="00860808"/>
    <w:rsid w:val="00861C13"/>
    <w:rsid w:val="00862349"/>
    <w:rsid w:val="0086571E"/>
    <w:rsid w:val="00867078"/>
    <w:rsid w:val="00870214"/>
    <w:rsid w:val="00871116"/>
    <w:rsid w:val="00885C51"/>
    <w:rsid w:val="00896B85"/>
    <w:rsid w:val="008A243D"/>
    <w:rsid w:val="008A3120"/>
    <w:rsid w:val="008C2B6A"/>
    <w:rsid w:val="008C4E76"/>
    <w:rsid w:val="008D06C6"/>
    <w:rsid w:val="008D5E9D"/>
    <w:rsid w:val="008D713B"/>
    <w:rsid w:val="008E6250"/>
    <w:rsid w:val="009158C4"/>
    <w:rsid w:val="00917C6F"/>
    <w:rsid w:val="00920249"/>
    <w:rsid w:val="00920D1A"/>
    <w:rsid w:val="00923B32"/>
    <w:rsid w:val="0092787B"/>
    <w:rsid w:val="00932F14"/>
    <w:rsid w:val="0094247F"/>
    <w:rsid w:val="00942D60"/>
    <w:rsid w:val="0094358A"/>
    <w:rsid w:val="00945F27"/>
    <w:rsid w:val="009460FA"/>
    <w:rsid w:val="00947534"/>
    <w:rsid w:val="009478A1"/>
    <w:rsid w:val="009560E7"/>
    <w:rsid w:val="0096523B"/>
    <w:rsid w:val="0097058D"/>
    <w:rsid w:val="00972D06"/>
    <w:rsid w:val="00975E32"/>
    <w:rsid w:val="0099323D"/>
    <w:rsid w:val="0099623A"/>
    <w:rsid w:val="009A2699"/>
    <w:rsid w:val="009A2DC9"/>
    <w:rsid w:val="009A391C"/>
    <w:rsid w:val="009D0C13"/>
    <w:rsid w:val="009D6204"/>
    <w:rsid w:val="009E0A61"/>
    <w:rsid w:val="009E3010"/>
    <w:rsid w:val="009E46F5"/>
    <w:rsid w:val="009F7065"/>
    <w:rsid w:val="00A17E19"/>
    <w:rsid w:val="00A21589"/>
    <w:rsid w:val="00A2449C"/>
    <w:rsid w:val="00A24742"/>
    <w:rsid w:val="00A318EB"/>
    <w:rsid w:val="00A542AD"/>
    <w:rsid w:val="00A551B9"/>
    <w:rsid w:val="00A56DC7"/>
    <w:rsid w:val="00A66FDD"/>
    <w:rsid w:val="00A671E6"/>
    <w:rsid w:val="00A709E5"/>
    <w:rsid w:val="00A74FD1"/>
    <w:rsid w:val="00A821C5"/>
    <w:rsid w:val="00A84A58"/>
    <w:rsid w:val="00A902DA"/>
    <w:rsid w:val="00A929A9"/>
    <w:rsid w:val="00A96594"/>
    <w:rsid w:val="00AA41BA"/>
    <w:rsid w:val="00AA6D0D"/>
    <w:rsid w:val="00AA6FA3"/>
    <w:rsid w:val="00AC1FFA"/>
    <w:rsid w:val="00AC428E"/>
    <w:rsid w:val="00AD344F"/>
    <w:rsid w:val="00AD4F00"/>
    <w:rsid w:val="00AE4FFD"/>
    <w:rsid w:val="00AE6054"/>
    <w:rsid w:val="00AE7719"/>
    <w:rsid w:val="00AF24FA"/>
    <w:rsid w:val="00AF387F"/>
    <w:rsid w:val="00AF397D"/>
    <w:rsid w:val="00B00E7F"/>
    <w:rsid w:val="00B02169"/>
    <w:rsid w:val="00B17112"/>
    <w:rsid w:val="00B21055"/>
    <w:rsid w:val="00B21DCC"/>
    <w:rsid w:val="00B23D3D"/>
    <w:rsid w:val="00B25F37"/>
    <w:rsid w:val="00B37158"/>
    <w:rsid w:val="00B425AA"/>
    <w:rsid w:val="00B44422"/>
    <w:rsid w:val="00B46EA0"/>
    <w:rsid w:val="00B525BA"/>
    <w:rsid w:val="00B55714"/>
    <w:rsid w:val="00B56DF7"/>
    <w:rsid w:val="00B63BBA"/>
    <w:rsid w:val="00B64173"/>
    <w:rsid w:val="00B67411"/>
    <w:rsid w:val="00B731D3"/>
    <w:rsid w:val="00B75B57"/>
    <w:rsid w:val="00B77C18"/>
    <w:rsid w:val="00B811B3"/>
    <w:rsid w:val="00B839A3"/>
    <w:rsid w:val="00B902BD"/>
    <w:rsid w:val="00B92501"/>
    <w:rsid w:val="00BA1009"/>
    <w:rsid w:val="00BB0EC9"/>
    <w:rsid w:val="00BD05A6"/>
    <w:rsid w:val="00BD2A39"/>
    <w:rsid w:val="00BD2E80"/>
    <w:rsid w:val="00BD49FF"/>
    <w:rsid w:val="00BD4B64"/>
    <w:rsid w:val="00BD77E1"/>
    <w:rsid w:val="00BE11B8"/>
    <w:rsid w:val="00BE1605"/>
    <w:rsid w:val="00BF0D85"/>
    <w:rsid w:val="00BF45A3"/>
    <w:rsid w:val="00BF6BEA"/>
    <w:rsid w:val="00BF7FF0"/>
    <w:rsid w:val="00C02485"/>
    <w:rsid w:val="00C11AEA"/>
    <w:rsid w:val="00C12502"/>
    <w:rsid w:val="00C26B3B"/>
    <w:rsid w:val="00C40AA5"/>
    <w:rsid w:val="00C46F70"/>
    <w:rsid w:val="00C476D0"/>
    <w:rsid w:val="00C6434A"/>
    <w:rsid w:val="00C64555"/>
    <w:rsid w:val="00C66AC4"/>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7EBF"/>
    <w:rsid w:val="00CE5029"/>
    <w:rsid w:val="00CE59AA"/>
    <w:rsid w:val="00CF0E86"/>
    <w:rsid w:val="00D00DFA"/>
    <w:rsid w:val="00D04D6B"/>
    <w:rsid w:val="00D056F1"/>
    <w:rsid w:val="00D06616"/>
    <w:rsid w:val="00D10A29"/>
    <w:rsid w:val="00D144D7"/>
    <w:rsid w:val="00D15A08"/>
    <w:rsid w:val="00D23DB6"/>
    <w:rsid w:val="00D4506E"/>
    <w:rsid w:val="00D51A95"/>
    <w:rsid w:val="00D520B3"/>
    <w:rsid w:val="00D60568"/>
    <w:rsid w:val="00D70C7A"/>
    <w:rsid w:val="00D72A29"/>
    <w:rsid w:val="00D834E5"/>
    <w:rsid w:val="00D96C9C"/>
    <w:rsid w:val="00DA10A8"/>
    <w:rsid w:val="00DA3B93"/>
    <w:rsid w:val="00DA7605"/>
    <w:rsid w:val="00DB123A"/>
    <w:rsid w:val="00DB1E08"/>
    <w:rsid w:val="00DB2973"/>
    <w:rsid w:val="00DC0FBA"/>
    <w:rsid w:val="00DC1B56"/>
    <w:rsid w:val="00DC20CC"/>
    <w:rsid w:val="00DC2129"/>
    <w:rsid w:val="00DC6570"/>
    <w:rsid w:val="00DD265C"/>
    <w:rsid w:val="00DD3703"/>
    <w:rsid w:val="00DE5528"/>
    <w:rsid w:val="00DF1987"/>
    <w:rsid w:val="00DF25C3"/>
    <w:rsid w:val="00DF5CFF"/>
    <w:rsid w:val="00DF72BB"/>
    <w:rsid w:val="00E04062"/>
    <w:rsid w:val="00E063C6"/>
    <w:rsid w:val="00E159AA"/>
    <w:rsid w:val="00E16C08"/>
    <w:rsid w:val="00E2003B"/>
    <w:rsid w:val="00E205F0"/>
    <w:rsid w:val="00E21021"/>
    <w:rsid w:val="00E23FE4"/>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92E6F"/>
    <w:rsid w:val="00EA2226"/>
    <w:rsid w:val="00EA7DB0"/>
    <w:rsid w:val="00EA7F2F"/>
    <w:rsid w:val="00EB312D"/>
    <w:rsid w:val="00EB576F"/>
    <w:rsid w:val="00EB6590"/>
    <w:rsid w:val="00EC00DE"/>
    <w:rsid w:val="00EC21DF"/>
    <w:rsid w:val="00EC30E1"/>
    <w:rsid w:val="00EC3436"/>
    <w:rsid w:val="00EC3B70"/>
    <w:rsid w:val="00EC66BB"/>
    <w:rsid w:val="00EC7995"/>
    <w:rsid w:val="00ED172A"/>
    <w:rsid w:val="00EE01DC"/>
    <w:rsid w:val="00F14AB3"/>
    <w:rsid w:val="00F14BEC"/>
    <w:rsid w:val="00F224B7"/>
    <w:rsid w:val="00F225C5"/>
    <w:rsid w:val="00F2587A"/>
    <w:rsid w:val="00F33470"/>
    <w:rsid w:val="00F34E02"/>
    <w:rsid w:val="00F36222"/>
    <w:rsid w:val="00F3715D"/>
    <w:rsid w:val="00F37A10"/>
    <w:rsid w:val="00F41D4B"/>
    <w:rsid w:val="00F420C8"/>
    <w:rsid w:val="00F42A4C"/>
    <w:rsid w:val="00F526BD"/>
    <w:rsid w:val="00F634A1"/>
    <w:rsid w:val="00F74BD1"/>
    <w:rsid w:val="00FB7512"/>
    <w:rsid w:val="00FC4A1D"/>
    <w:rsid w:val="00FC5992"/>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FFF7B"/>
  <w15:docId w15:val="{8D17079B-4D95-4EC1-9DAB-5E396EC6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43328384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foodstandards.gov.au/code/applications/Pages/A1126Pectins-Carrageenan-asPA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foodstandards.gov.au/code/fofr/fofrpolicy/pages/default.aspx" TargetMode="Externa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X3VAMR3A5FUY-552-6164</_dlc_DocId>
    <_dlc_DocIdUrl xmlns="ff5de93e-c5e8-4efc-a1bd-21450292fcfe">
      <Url>http://teams/Sections/RAP/_layouts/15/DocIdRedir.aspx?ID=X3VAMR3A5FUY-552-6164</Url>
      <Description>X3VAMR3A5FUY-552-6164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8DBF1-EFB3-457F-ADE6-41782BB88418}"/>
</file>

<file path=customXml/itemProps2.xml><?xml version="1.0" encoding="utf-8"?>
<ds:datastoreItem xmlns:ds="http://schemas.openxmlformats.org/officeDocument/2006/customXml" ds:itemID="{CA2E015E-5859-4B3A-9C94-F555BF727A2B}"/>
</file>

<file path=customXml/itemProps3.xml><?xml version="1.0" encoding="utf-8"?>
<ds:datastoreItem xmlns:ds="http://schemas.openxmlformats.org/officeDocument/2006/customXml" ds:itemID="{E284A6D2-54B3-404D-893F-9898849CBFA3}"/>
</file>

<file path=customXml/itemProps4.xml><?xml version="1.0" encoding="utf-8"?>
<ds:datastoreItem xmlns:ds="http://schemas.openxmlformats.org/officeDocument/2006/customXml" ds:itemID="{E46CCA03-FBA0-4F60-B952-B6866CF21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C8DBF1-EFB3-457F-ADE6-41782BB88418}">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ff5de93e-c5e8-4efc-a1bd-21450292fcfe"/>
    <ds:schemaRef ds:uri="http://www.w3.org/XML/1998/namespace"/>
    <ds:schemaRef ds:uri="ec50576e-4a27-4780-a1e1-e59563bc70b8"/>
    <ds:schemaRef ds:uri="http://purl.org/dc/dcmitype/"/>
  </ds:schemaRefs>
</ds:datastoreItem>
</file>

<file path=customXml/itemProps6.xml><?xml version="1.0" encoding="utf-8"?>
<ds:datastoreItem xmlns:ds="http://schemas.openxmlformats.org/officeDocument/2006/customXml" ds:itemID="{57791BFD-6D08-4E0C-8EAA-B63BB9A55B21}"/>
</file>

<file path=docProps/app.xml><?xml version="1.0" encoding="utf-8"?>
<Properties xmlns="http://schemas.openxmlformats.org/officeDocument/2006/extended-properties" xmlns:vt="http://schemas.openxmlformats.org/officeDocument/2006/docPropsVTypes">
  <Template>Normal.dotm</Template>
  <TotalTime>6</TotalTime>
  <Pages>14</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25572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Dennis</dc:creator>
  <cp:keywords/>
  <cp:lastModifiedBy>Humphries, Cathie</cp:lastModifiedBy>
  <cp:revision>6</cp:revision>
  <cp:lastPrinted>2017-06-22T08:10:00Z</cp:lastPrinted>
  <dcterms:created xsi:type="dcterms:W3CDTF">2017-06-21T06:13:00Z</dcterms:created>
  <dcterms:modified xsi:type="dcterms:W3CDTF">2017-06-22T08:10:00Z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747e7ea0-2be6-4858-a7d3-00e3afeaf0ae</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72c8bdf3-537d-4a45-b927-0209aafd2c80</vt:lpwstr>
  </property>
</Properties>
</file>